
<file path=[Content_Types].xml><?xml version="1.0" encoding="utf-8"?>
<Types xmlns="http://schemas.openxmlformats.org/package/2006/content-types">
  <Override PartName="/word/diagrams/quickStyle2.xml" ContentType="application/vnd.openxmlformats-officedocument.drawingml.diagramStyle+xml"/>
  <Override PartName="/word/diagrams/data3.xml" ContentType="application/vnd.openxmlformats-officedocument.drawingml.diagramData+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drawings/drawing4.xml" ContentType="application/vnd.openxmlformats-officedocument.drawingml.chartshapes+xml"/>
  <Override PartName="/word/diagrams/drawing2.xml" ContentType="application/vnd.ms-office.drawingml.diagramDrawing+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46.xml" ContentType="application/vnd.openxmlformats-officedocument.drawingml.chart+xml"/>
  <Override PartName="/word/drawings/drawing2.xml" ContentType="application/vnd.openxmlformats-officedocument.drawingml.chartshapes+xml"/>
  <Override PartName="/word/footer3.xml" ContentType="application/vnd.openxmlformats-officedocument.wordprocessingml.footer+xml"/>
  <Override PartName="/word/footer1.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charts/chart53.xml" ContentType="application/vnd.openxmlformats-officedocument.drawingml.chart+xml"/>
  <Override PartName="/word/diagrams/layout3.xml" ContentType="application/vnd.openxmlformats-officedocument.drawingml.diagramLayout+xml"/>
  <Default Extension="xlsx" ContentType="application/vnd.openxmlformats-officedocument.spreadsheetml.sheet"/>
  <Override PartName="/word/charts/chart3.xml" ContentType="application/vnd.openxmlformats-officedocument.drawingml.chart+xml"/>
  <Override PartName="/word/charts/chart13.xml" ContentType="application/vnd.openxmlformats-officedocument.drawingml.chart+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charts/chart42.xml" ContentType="application/vnd.openxmlformats-officedocument.drawingml.chart+xml"/>
  <Override PartName="/word/charts/chart51.xml" ContentType="application/vnd.openxmlformats-officedocument.drawingml.chart+xml"/>
  <Override PartName="/word/diagrams/layout1.xml" ContentType="application/vnd.openxmlformats-officedocument.drawingml.diagramLayout+xml"/>
  <Override PartName="/word/diagrams/quickStyle3.xml" ContentType="application/vnd.openxmlformats-officedocument.drawingml.diagramStyle+xml"/>
  <Override PartName="/word/charts/chart1.xml" ContentType="application/vnd.openxmlformats-officedocument.drawingml.chart+xml"/>
  <Override PartName="/word/charts/chart11.xml" ContentType="application/vnd.openxmlformats-officedocument.drawingml.chart+xml"/>
  <Override PartName="/word/charts/chart20.xml" ContentType="application/vnd.openxmlformats-officedocument.drawingml.chart+xml"/>
  <Override PartName="/word/charts/chart40.xml" ContentType="application/vnd.openxmlformats-officedocument.drawingml.chart+xml"/>
  <Override PartName="/customXml/itemProps2.xml" ContentType="application/vnd.openxmlformats-officedocument.customXmlProperties+xml"/>
  <Default Extension="png" ContentType="image/png"/>
  <Default Extension="bin" ContentType="application/vnd.openxmlformats-officedocument.oleObject"/>
  <Override PartName="/word/diagrams/quickStyle1.xml" ContentType="application/vnd.openxmlformats-officedocument.drawingml.diagramStyle+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diagrams/drawing3.xml" ContentType="application/vnd.ms-office.drawingml.diagramDrawing+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word/drawings/drawing3.xml" ContentType="application/vnd.openxmlformats-officedocument.drawingml.chartshapes+xml"/>
  <Override PartName="/word/drawings/drawing5.xml" ContentType="application/vnd.openxmlformats-officedocument.drawingml.chartshap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diagrams/drawing1.xml" ContentType="application/vnd.ms-office.drawingml.diagramDrawing+xml"/>
  <Override PartName="/word/drawings/drawing1.xml" ContentType="application/vnd.openxmlformats-officedocument.drawingml.chartshape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charts/chart23.xml" ContentType="application/vnd.openxmlformats-officedocument.drawingml.chart+xml"/>
  <Override PartName="/word/charts/chart32.xml" ContentType="application/vnd.openxmlformats-officedocument.drawingml.chart+xml"/>
  <Override PartName="/word/charts/chart41.xml" ContentType="application/vnd.openxmlformats-officedocument.drawingml.chart+xml"/>
  <Override PartName="/word/charts/chart50.xml" ContentType="application/vnd.openxmlformats-officedocument.drawingml.chart+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diagrams/layout2.xml" ContentType="application/vnd.openxmlformats-officedocument.drawingml.diagramLayout+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Override PartName="/word/footnotes.xml" ContentType="application/vnd.openxmlformats-officedocument.wordprocessingml.footnot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page" w:horzAnchor="margin" w:tblpX="-635" w:tblpY="811"/>
        <w:tblW w:w="5655" w:type="pct"/>
        <w:tblLook w:val="04A0"/>
      </w:tblPr>
      <w:tblGrid>
        <w:gridCol w:w="10506"/>
      </w:tblGrid>
      <w:tr w:rsidR="00570C86" w:rsidRPr="003122A3" w:rsidTr="00F64FF7">
        <w:trPr>
          <w:trHeight w:val="2880"/>
        </w:trPr>
        <w:tc>
          <w:tcPr>
            <w:tcW w:w="5000" w:type="pct"/>
          </w:tcPr>
          <w:p w:rsidR="00570C86" w:rsidRPr="00F64FF7" w:rsidRDefault="00570C86" w:rsidP="00F64FF7">
            <w:pPr>
              <w:jc w:val="center"/>
              <w:rPr>
                <w:rFonts w:ascii="Times New Roman" w:hAnsi="Times New Roman" w:cs="Times New Roman"/>
                <w:sz w:val="2"/>
                <w:szCs w:val="2"/>
              </w:rPr>
            </w:pPr>
          </w:p>
          <w:p w:rsidR="00570C86" w:rsidRDefault="00725145" w:rsidP="00F64FF7">
            <w:pPr>
              <w:jc w:val="center"/>
              <w:rPr>
                <w:rFonts w:ascii="Times New Roman" w:hAnsi="Times New Roman" w:cs="Times New Roman"/>
              </w:rPr>
            </w:pPr>
            <w:r w:rsidRPr="003122A3">
              <w:rPr>
                <w:rFonts w:ascii="Times New Roman" w:hAnsi="Times New Roman" w:cs="Times New Roman"/>
                <w:noProof/>
              </w:rPr>
              <w:drawing>
                <wp:inline distT="0" distB="0" distL="0" distR="0">
                  <wp:extent cx="981075" cy="1387862"/>
                  <wp:effectExtent l="19050" t="0" r="9525" b="0"/>
                  <wp:docPr id="1" name="Picture 0"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9" cstate="print"/>
                          <a:stretch>
                            <a:fillRect/>
                          </a:stretch>
                        </pic:blipFill>
                        <pic:spPr>
                          <a:xfrm>
                            <a:off x="0" y="0"/>
                            <a:ext cx="981075" cy="1387862"/>
                          </a:xfrm>
                          <a:prstGeom prst="rect">
                            <a:avLst/>
                          </a:prstGeom>
                        </pic:spPr>
                      </pic:pic>
                    </a:graphicData>
                  </a:graphic>
                </wp:inline>
              </w:drawing>
            </w:r>
          </w:p>
          <w:p w:rsidR="00B16574" w:rsidRPr="003122A3" w:rsidRDefault="00B16574" w:rsidP="00F64FF7">
            <w:pPr>
              <w:jc w:val="center"/>
              <w:rPr>
                <w:rFonts w:ascii="Times New Roman" w:hAnsi="Times New Roman" w:cs="Times New Roman"/>
              </w:rPr>
            </w:pPr>
          </w:p>
          <w:p w:rsidR="00570C86" w:rsidRPr="001F65D2" w:rsidRDefault="00600FC9" w:rsidP="00F64FF7">
            <w:pPr>
              <w:spacing w:after="0" w:line="240" w:lineRule="auto"/>
              <w:jc w:val="center"/>
              <w:rPr>
                <w:rFonts w:ascii="Times New Roman" w:hAnsi="Times New Roman" w:cs="Times New Roman"/>
                <w:b/>
                <w:bCs/>
                <w:sz w:val="48"/>
                <w:szCs w:val="48"/>
              </w:rPr>
            </w:pPr>
            <w:r w:rsidRPr="001F65D2">
              <w:rPr>
                <w:rFonts w:ascii="Times New Roman" w:hAnsi="Times New Roman" w:cs="Times New Roman"/>
                <w:b/>
                <w:bCs/>
                <w:sz w:val="48"/>
                <w:szCs w:val="48"/>
              </w:rPr>
              <w:t>State of Palestine</w:t>
            </w:r>
          </w:p>
          <w:p w:rsidR="00570C86" w:rsidRPr="001F65D2" w:rsidRDefault="00600FC9" w:rsidP="00F64FF7">
            <w:pPr>
              <w:spacing w:after="0" w:line="240" w:lineRule="auto"/>
              <w:jc w:val="center"/>
              <w:rPr>
                <w:rFonts w:ascii="Times New Roman" w:hAnsi="Times New Roman" w:cs="Times New Roman"/>
                <w:b/>
                <w:bCs/>
                <w:sz w:val="48"/>
                <w:szCs w:val="48"/>
                <w:rtl/>
              </w:rPr>
            </w:pPr>
            <w:r w:rsidRPr="001F65D2">
              <w:rPr>
                <w:rFonts w:ascii="Times New Roman" w:hAnsi="Times New Roman" w:cs="Times New Roman"/>
                <w:b/>
                <w:bCs/>
                <w:sz w:val="48"/>
                <w:szCs w:val="48"/>
              </w:rPr>
              <w:t>The Palestinian Central Bureau of Statistics</w:t>
            </w:r>
          </w:p>
          <w:p w:rsidR="00570C86" w:rsidRPr="003122A3" w:rsidRDefault="00570C86" w:rsidP="00F64FF7">
            <w:pPr>
              <w:jc w:val="center"/>
              <w:rPr>
                <w:rFonts w:ascii="Times New Roman" w:hAnsi="Times New Roman" w:cs="Times New Roman"/>
                <w:b/>
                <w:bCs/>
                <w:sz w:val="26"/>
                <w:szCs w:val="26"/>
              </w:rPr>
            </w:pPr>
          </w:p>
          <w:p w:rsidR="00570C86" w:rsidRPr="003122A3" w:rsidRDefault="00570C86" w:rsidP="00F64FF7">
            <w:pPr>
              <w:jc w:val="center"/>
              <w:rPr>
                <w:rFonts w:ascii="Times New Roman" w:hAnsi="Times New Roman" w:cs="Times New Roman"/>
              </w:rPr>
            </w:pPr>
          </w:p>
        </w:tc>
      </w:tr>
      <w:tr w:rsidR="00570C86" w:rsidRPr="003122A3" w:rsidTr="00F64FF7">
        <w:trPr>
          <w:trHeight w:val="1440"/>
        </w:trPr>
        <w:tc>
          <w:tcPr>
            <w:tcW w:w="5000" w:type="pct"/>
            <w:shd w:val="clear" w:color="auto" w:fill="auto"/>
            <w:vAlign w:val="center"/>
          </w:tcPr>
          <w:p w:rsidR="00570C86" w:rsidRPr="003122A3" w:rsidRDefault="00570C86" w:rsidP="00F64FF7">
            <w:pPr>
              <w:jc w:val="center"/>
              <w:rPr>
                <w:rFonts w:ascii="Times New Roman" w:hAnsi="Times New Roman" w:cs="Times New Roman"/>
                <w:sz w:val="80"/>
                <w:szCs w:val="80"/>
              </w:rPr>
            </w:pPr>
          </w:p>
        </w:tc>
      </w:tr>
      <w:tr w:rsidR="00570C86" w:rsidRPr="003122A3" w:rsidTr="00F64FF7">
        <w:trPr>
          <w:trHeight w:val="720"/>
        </w:trPr>
        <w:tc>
          <w:tcPr>
            <w:tcW w:w="5000" w:type="pct"/>
            <w:vAlign w:val="center"/>
          </w:tcPr>
          <w:p w:rsidR="00570C86" w:rsidRPr="003122A3" w:rsidRDefault="00570C86" w:rsidP="00F64FF7">
            <w:pPr>
              <w:jc w:val="both"/>
              <w:rPr>
                <w:rFonts w:ascii="Times New Roman" w:hAnsi="Times New Roman" w:cs="Times New Roman"/>
                <w:sz w:val="44"/>
                <w:szCs w:val="44"/>
              </w:rPr>
            </w:pPr>
          </w:p>
        </w:tc>
      </w:tr>
      <w:tr w:rsidR="00570C86" w:rsidRPr="003122A3" w:rsidTr="00F64FF7">
        <w:trPr>
          <w:trHeight w:val="360"/>
        </w:trPr>
        <w:tc>
          <w:tcPr>
            <w:tcW w:w="5000" w:type="pct"/>
            <w:vAlign w:val="center"/>
          </w:tcPr>
          <w:p w:rsidR="00570C86" w:rsidRPr="005E6A97" w:rsidRDefault="008F57C8" w:rsidP="002D39C5">
            <w:pPr>
              <w:jc w:val="center"/>
              <w:rPr>
                <w:rFonts w:ascii="Times New Roman" w:hAnsi="Times New Roman" w:cs="Times New Roman"/>
                <w:sz w:val="24"/>
                <w:szCs w:val="24"/>
                <w:rtl/>
              </w:rPr>
            </w:pPr>
            <w:sdt>
              <w:sdtPr>
                <w:rPr>
                  <w:rFonts w:ascii="Times New Roman" w:hAnsi="Times New Roman" w:cs="Times New Roman"/>
                  <w:b/>
                  <w:bCs/>
                  <w:sz w:val="44"/>
                  <w:szCs w:val="44"/>
                </w:rPr>
                <w:alias w:val="Title"/>
                <w:id w:val="15524250"/>
                <w:dataBinding w:prefixMappings="xmlns:ns0='http://schemas.openxmlformats.org/package/2006/metadata/core-properties' xmlns:ns1='http://purl.org/dc/elements/1.1/'" w:xpath="/ns0:coreProperties[1]/ns1:title[1]" w:storeItemID="{6C3C8BC8-F283-45AE-878A-BAB7291924A1}"/>
                <w:text/>
              </w:sdtPr>
              <w:sdtContent>
                <w:r w:rsidR="00F64FF7" w:rsidRPr="005E6A97">
                  <w:rPr>
                    <w:rFonts w:ascii="Times New Roman" w:hAnsi="Times New Roman" w:cs="Times New Roman"/>
                    <w:b/>
                    <w:bCs/>
                    <w:sz w:val="44"/>
                    <w:szCs w:val="44"/>
                  </w:rPr>
                  <w:t xml:space="preserve">The Status of the </w:t>
                </w:r>
                <w:r w:rsidR="002D39C5">
                  <w:rPr>
                    <w:rFonts w:ascii="Times New Roman" w:hAnsi="Times New Roman" w:cs="Times New Roman"/>
                    <w:b/>
                    <w:bCs/>
                    <w:sz w:val="44"/>
                    <w:szCs w:val="44"/>
                  </w:rPr>
                  <w:t>R</w:t>
                </w:r>
                <w:r w:rsidR="00F64FF7" w:rsidRPr="005E6A97">
                  <w:rPr>
                    <w:rFonts w:ascii="Times New Roman" w:hAnsi="Times New Roman" w:cs="Times New Roman"/>
                    <w:b/>
                    <w:bCs/>
                    <w:sz w:val="44"/>
                    <w:szCs w:val="44"/>
                  </w:rPr>
                  <w:t>ights of Palestinian Children 2014</w:t>
                </w:r>
              </w:sdtContent>
            </w:sdt>
          </w:p>
          <w:p w:rsidR="00570C86" w:rsidRPr="003122A3" w:rsidRDefault="00570C86" w:rsidP="00F64FF7">
            <w:pPr>
              <w:jc w:val="both"/>
              <w:rPr>
                <w:rFonts w:ascii="Times New Roman" w:hAnsi="Times New Roman" w:cs="Times New Roman"/>
              </w:rPr>
            </w:pPr>
          </w:p>
          <w:p w:rsidR="00C82418" w:rsidRPr="003122A3" w:rsidRDefault="00C82418" w:rsidP="00F64FF7">
            <w:pPr>
              <w:jc w:val="both"/>
              <w:rPr>
                <w:rFonts w:ascii="Times New Roman" w:hAnsi="Times New Roman" w:cs="Times New Roman"/>
              </w:rPr>
            </w:pPr>
          </w:p>
          <w:p w:rsidR="00C82418" w:rsidRPr="003122A3" w:rsidRDefault="00C82418" w:rsidP="00F64FF7">
            <w:pPr>
              <w:jc w:val="both"/>
              <w:rPr>
                <w:rFonts w:ascii="Times New Roman" w:hAnsi="Times New Roman" w:cs="Times New Roman"/>
              </w:rPr>
            </w:pPr>
          </w:p>
          <w:p w:rsidR="00C82418" w:rsidRPr="003122A3" w:rsidRDefault="00C82418" w:rsidP="00F64FF7">
            <w:pPr>
              <w:jc w:val="both"/>
              <w:rPr>
                <w:rFonts w:ascii="Times New Roman" w:hAnsi="Times New Roman" w:cs="Times New Roman"/>
              </w:rPr>
            </w:pPr>
          </w:p>
          <w:p w:rsidR="00C82418" w:rsidRPr="003122A3" w:rsidRDefault="00C82418" w:rsidP="00F64FF7">
            <w:pPr>
              <w:jc w:val="both"/>
              <w:rPr>
                <w:rFonts w:ascii="Times New Roman" w:hAnsi="Times New Roman" w:cs="Times New Roman"/>
              </w:rPr>
            </w:pPr>
          </w:p>
          <w:p w:rsidR="00C82418" w:rsidRPr="003122A3" w:rsidRDefault="00C82418" w:rsidP="00F64FF7">
            <w:pPr>
              <w:jc w:val="both"/>
              <w:rPr>
                <w:rFonts w:ascii="Times New Roman" w:hAnsi="Times New Roman" w:cs="Times New Roman"/>
              </w:rPr>
            </w:pPr>
          </w:p>
          <w:p w:rsidR="00C82418" w:rsidRPr="003122A3" w:rsidRDefault="00C82418" w:rsidP="00F64FF7">
            <w:pPr>
              <w:jc w:val="both"/>
              <w:rPr>
                <w:rFonts w:ascii="Times New Roman" w:hAnsi="Times New Roman" w:cs="Times New Roman"/>
              </w:rPr>
            </w:pPr>
          </w:p>
          <w:p w:rsidR="00C82418" w:rsidRPr="003122A3" w:rsidRDefault="00C82418" w:rsidP="00F64FF7">
            <w:pPr>
              <w:jc w:val="both"/>
              <w:rPr>
                <w:rFonts w:ascii="Times New Roman" w:hAnsi="Times New Roman" w:cs="Times New Roman"/>
                <w:rtl/>
              </w:rPr>
            </w:pPr>
          </w:p>
          <w:p w:rsidR="00570C86" w:rsidRPr="003122A3" w:rsidRDefault="00570C86" w:rsidP="00F64FF7">
            <w:pPr>
              <w:jc w:val="both"/>
              <w:rPr>
                <w:rFonts w:ascii="Times New Roman" w:hAnsi="Times New Roman" w:cs="Times New Roman"/>
              </w:rPr>
            </w:pPr>
          </w:p>
        </w:tc>
      </w:tr>
      <w:tr w:rsidR="00570C86" w:rsidRPr="003122A3" w:rsidTr="00F64FF7">
        <w:trPr>
          <w:trHeight w:val="360"/>
        </w:trPr>
        <w:tc>
          <w:tcPr>
            <w:tcW w:w="5000" w:type="pct"/>
            <w:vAlign w:val="center"/>
          </w:tcPr>
          <w:p w:rsidR="00F64FF7" w:rsidRDefault="00F64FF7" w:rsidP="00F64FF7">
            <w:pPr>
              <w:jc w:val="center"/>
              <w:rPr>
                <w:rFonts w:ascii="Times New Roman" w:hAnsi="Times New Roman" w:cs="Times New Roman"/>
                <w:b/>
                <w:bCs/>
                <w:sz w:val="28"/>
                <w:szCs w:val="28"/>
              </w:rPr>
            </w:pPr>
          </w:p>
          <w:p w:rsidR="00570C86" w:rsidRPr="003122A3" w:rsidRDefault="00600FC9" w:rsidP="00F64FF7">
            <w:pPr>
              <w:jc w:val="center"/>
              <w:rPr>
                <w:rFonts w:ascii="Times New Roman" w:hAnsi="Times New Roman" w:cs="Times New Roman"/>
                <w:b/>
                <w:bCs/>
                <w:sz w:val="28"/>
                <w:szCs w:val="28"/>
                <w:rtl/>
              </w:rPr>
            </w:pPr>
            <w:r w:rsidRPr="003122A3">
              <w:rPr>
                <w:rFonts w:ascii="Times New Roman" w:hAnsi="Times New Roman" w:cs="Times New Roman"/>
                <w:b/>
                <w:bCs/>
                <w:sz w:val="28"/>
                <w:szCs w:val="28"/>
              </w:rPr>
              <w:t>April/ 2015</w:t>
            </w:r>
          </w:p>
          <w:p w:rsidR="00570C86" w:rsidRPr="003122A3" w:rsidRDefault="00570C86" w:rsidP="00F64FF7">
            <w:pPr>
              <w:jc w:val="both"/>
              <w:rPr>
                <w:rFonts w:ascii="Times New Roman" w:hAnsi="Times New Roman" w:cs="Times New Roman"/>
                <w:b/>
                <w:bCs/>
              </w:rPr>
            </w:pPr>
          </w:p>
        </w:tc>
      </w:tr>
    </w:tbl>
    <w:sdt>
      <w:sdtPr>
        <w:rPr>
          <w:rFonts w:ascii="Times New Roman" w:eastAsia="Times New Roman" w:hAnsi="Times New Roman" w:cs="Times New Roman"/>
          <w:color w:val="FF0000"/>
          <w:sz w:val="24"/>
          <w:szCs w:val="20"/>
        </w:rPr>
        <w:id w:val="3570229"/>
        <w:docPartObj>
          <w:docPartGallery w:val="Cover Pages"/>
          <w:docPartUnique/>
        </w:docPartObj>
      </w:sdtPr>
      <w:sdtEndPr>
        <w:rPr>
          <w:rFonts w:eastAsiaTheme="minorHAnsi"/>
          <w:color w:val="auto"/>
          <w:sz w:val="22"/>
          <w:szCs w:val="22"/>
        </w:rPr>
      </w:sdtEndPr>
      <w:sdtContent>
        <w:p w:rsidR="0045295A" w:rsidRDefault="0045295A" w:rsidP="008E657F">
          <w:pPr>
            <w:jc w:val="both"/>
            <w:rPr>
              <w:rFonts w:ascii="Times New Roman" w:eastAsia="Times New Roman" w:hAnsi="Times New Roman" w:cs="Times New Roman"/>
              <w:color w:val="FF0000"/>
              <w:sz w:val="24"/>
              <w:szCs w:val="20"/>
            </w:rPr>
          </w:pPr>
        </w:p>
        <w:p w:rsidR="008D606C" w:rsidRDefault="008D606C" w:rsidP="008E657F">
          <w:pPr>
            <w:jc w:val="both"/>
            <w:rPr>
              <w:rFonts w:ascii="Times New Roman" w:eastAsia="Times New Roman" w:hAnsi="Times New Roman" w:cs="Times New Roman"/>
              <w:color w:val="FF0000"/>
              <w:sz w:val="24"/>
              <w:szCs w:val="20"/>
            </w:rPr>
          </w:pPr>
          <w:r>
            <w:rPr>
              <w:rFonts w:ascii="Times New Roman" w:eastAsia="Times New Roman" w:hAnsi="Times New Roman" w:cs="Times New Roman"/>
              <w:noProof/>
              <w:color w:val="FF0000"/>
              <w:sz w:val="24"/>
              <w:szCs w:val="20"/>
            </w:rPr>
            <w:drawing>
              <wp:anchor distT="0" distB="0" distL="114300" distR="114300" simplePos="0" relativeHeight="251677696" behindDoc="1" locked="0" layoutInCell="0" allowOverlap="1">
                <wp:simplePos x="0" y="0"/>
                <wp:positionH relativeFrom="margin">
                  <wp:posOffset>2094733</wp:posOffset>
                </wp:positionH>
                <wp:positionV relativeFrom="margin">
                  <wp:posOffset>22596</wp:posOffset>
                </wp:positionV>
                <wp:extent cx="1518250" cy="1423359"/>
                <wp:effectExtent l="19050" t="0" r="5750" b="0"/>
                <wp:wrapNone/>
                <wp:docPr id="6" name="WordPictureWatermark22328565" descr="alquds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2328565" descr="alquds2015"/>
                        <pic:cNvPicPr>
                          <a:picLocks noChangeAspect="1" noChangeArrowheads="1"/>
                        </pic:cNvPicPr>
                      </pic:nvPicPr>
                      <pic:blipFill>
                        <a:blip r:embed="rId10" cstate="print"/>
                        <a:srcRect/>
                        <a:stretch>
                          <a:fillRect/>
                        </a:stretch>
                      </pic:blipFill>
                      <pic:spPr bwMode="auto">
                        <a:xfrm>
                          <a:off x="0" y="0"/>
                          <a:ext cx="1520067" cy="1425063"/>
                        </a:xfrm>
                        <a:prstGeom prst="rect">
                          <a:avLst/>
                        </a:prstGeom>
                        <a:noFill/>
                      </pic:spPr>
                    </pic:pic>
                  </a:graphicData>
                </a:graphic>
              </wp:anchor>
            </w:drawing>
          </w:r>
        </w:p>
        <w:p w:rsidR="008D606C" w:rsidRDefault="008D606C" w:rsidP="008E657F">
          <w:pPr>
            <w:jc w:val="both"/>
            <w:rPr>
              <w:rFonts w:ascii="Times New Roman" w:eastAsia="Times New Roman" w:hAnsi="Times New Roman" w:cs="Times New Roman"/>
              <w:color w:val="FF0000"/>
              <w:sz w:val="24"/>
              <w:szCs w:val="20"/>
            </w:rPr>
          </w:pPr>
        </w:p>
        <w:p w:rsidR="008D606C" w:rsidRDefault="008D606C" w:rsidP="008E657F">
          <w:pPr>
            <w:jc w:val="both"/>
            <w:rPr>
              <w:rFonts w:ascii="Times New Roman" w:eastAsia="Times New Roman" w:hAnsi="Times New Roman" w:cs="Times New Roman"/>
              <w:color w:val="FF0000"/>
              <w:sz w:val="24"/>
              <w:szCs w:val="20"/>
            </w:rPr>
          </w:pPr>
        </w:p>
        <w:p w:rsidR="006B6785" w:rsidRDefault="006B6785" w:rsidP="008E657F">
          <w:pPr>
            <w:jc w:val="both"/>
            <w:rPr>
              <w:rFonts w:ascii="Times New Roman" w:eastAsia="Times New Roman" w:hAnsi="Times New Roman" w:cs="Times New Roman"/>
              <w:color w:val="FF0000"/>
              <w:sz w:val="24"/>
              <w:szCs w:val="20"/>
            </w:rPr>
          </w:pPr>
        </w:p>
        <w:p w:rsidR="008D606C" w:rsidRDefault="008D606C" w:rsidP="008E657F">
          <w:pPr>
            <w:jc w:val="both"/>
            <w:rPr>
              <w:rFonts w:ascii="Times New Roman" w:eastAsia="Times New Roman" w:hAnsi="Times New Roman" w:cs="Times New Roman"/>
              <w:color w:val="FF0000"/>
              <w:sz w:val="24"/>
              <w:szCs w:val="20"/>
            </w:rPr>
          </w:pPr>
        </w:p>
        <w:sdt>
          <w:sdtPr>
            <w:rPr>
              <w:rFonts w:ascii="Times New Roman" w:hAnsi="Times New Roman" w:cs="Times New Roman"/>
              <w:sz w:val="24"/>
              <w:szCs w:val="24"/>
            </w:rPr>
            <w:alias w:val="Abstract"/>
            <w:id w:val="7737408"/>
            <w:dataBinding w:prefixMappings="xmlns:ns0='http://schemas.microsoft.com/office/2006/coverPageProps'" w:xpath="/ns0:CoverPageProperties[1]/ns0:Abstract[1]" w:storeItemID="{55AF091B-3C7A-41E3-B477-F2FDAA23CFDA}"/>
            <w:text/>
          </w:sdtPr>
          <w:sdtContent>
            <w:p w:rsidR="00570C86" w:rsidRPr="003122A3" w:rsidRDefault="004E3ED5" w:rsidP="00C3337D">
              <w:pPr>
                <w:pBdr>
                  <w:top w:val="double" w:sz="4" w:space="1" w:color="auto"/>
                  <w:left w:val="double" w:sz="4" w:space="4" w:color="auto"/>
                  <w:bottom w:val="double" w:sz="4" w:space="1" w:color="auto"/>
                  <w:right w:val="double" w:sz="4" w:space="4" w:color="auto"/>
                </w:pBdr>
                <w:jc w:val="both"/>
                <w:rPr>
                  <w:rFonts w:ascii="Times New Roman" w:hAnsi="Times New Roman" w:cs="Times New Roman"/>
                  <w:b/>
                  <w:bCs/>
                  <w:color w:val="FF0000"/>
                  <w:rtl/>
                </w:rPr>
              </w:pPr>
              <w:r w:rsidRPr="003122A3">
                <w:rPr>
                  <w:rFonts w:ascii="Times New Roman" w:hAnsi="Times New Roman" w:cs="Times New Roman"/>
                  <w:sz w:val="24"/>
                  <w:szCs w:val="24"/>
                </w:rPr>
                <w:t>This document is a periodic report on the status and description of the rights of children in Palestine. It also aims to pinpoint most important lacuna in the data available in order to collect necessary information in the near future to draw a clearer and comprehensive picture of the reality.  PCBS is committed to providing disaggregated data and ensuring that information on the most vulnerable and marginalized groups of children is made available in order to devise the necessary remedies</w:t>
              </w:r>
            </w:p>
          </w:sdtContent>
        </w:sdt>
        <w:p w:rsidR="00F64FF7" w:rsidRDefault="00F64FF7" w:rsidP="00F64FF7">
          <w:pPr>
            <w:snapToGrid w:val="0"/>
            <w:spacing w:after="0" w:line="240" w:lineRule="auto"/>
            <w:jc w:val="lowKashida"/>
            <w:rPr>
              <w:rFonts w:hAnsi="Symbol" w:cs="Symbol"/>
              <w:sz w:val="20"/>
              <w:szCs w:val="20"/>
            </w:rPr>
          </w:pPr>
        </w:p>
        <w:p w:rsidR="00F64FF7" w:rsidRDefault="00F64FF7" w:rsidP="00F64FF7">
          <w:pPr>
            <w:snapToGrid w:val="0"/>
            <w:spacing w:after="0" w:line="240" w:lineRule="auto"/>
            <w:jc w:val="lowKashida"/>
            <w:rPr>
              <w:rFonts w:hAnsi="Symbol" w:cs="Symbol"/>
              <w:sz w:val="20"/>
              <w:szCs w:val="20"/>
            </w:rPr>
          </w:pPr>
        </w:p>
        <w:p w:rsidR="00F64FF7" w:rsidRDefault="00F64FF7" w:rsidP="00F64FF7">
          <w:pPr>
            <w:snapToGrid w:val="0"/>
            <w:spacing w:after="0" w:line="240" w:lineRule="auto"/>
            <w:jc w:val="lowKashida"/>
            <w:rPr>
              <w:rFonts w:hAnsi="Symbol" w:cs="Symbol"/>
              <w:sz w:val="20"/>
              <w:szCs w:val="20"/>
            </w:rPr>
          </w:pPr>
        </w:p>
        <w:p w:rsidR="00F64FF7" w:rsidRDefault="00F64FF7" w:rsidP="00F64FF7">
          <w:pPr>
            <w:snapToGrid w:val="0"/>
            <w:spacing w:after="0" w:line="240" w:lineRule="auto"/>
            <w:jc w:val="lowKashida"/>
            <w:rPr>
              <w:rFonts w:hAnsi="Symbol" w:cs="Symbol"/>
              <w:sz w:val="20"/>
              <w:szCs w:val="20"/>
            </w:rPr>
          </w:pPr>
        </w:p>
        <w:p w:rsidR="00F64FF7" w:rsidRDefault="00F64FF7" w:rsidP="00F64FF7">
          <w:pPr>
            <w:snapToGrid w:val="0"/>
            <w:spacing w:after="0" w:line="240" w:lineRule="auto"/>
            <w:jc w:val="lowKashida"/>
            <w:rPr>
              <w:rFonts w:hAnsi="Symbol" w:cs="Symbol"/>
              <w:sz w:val="20"/>
              <w:szCs w:val="20"/>
            </w:rPr>
          </w:pPr>
        </w:p>
        <w:p w:rsidR="00F64FF7" w:rsidRDefault="00F64FF7" w:rsidP="00F64FF7">
          <w:pPr>
            <w:snapToGrid w:val="0"/>
            <w:spacing w:after="0" w:line="240" w:lineRule="auto"/>
            <w:jc w:val="lowKashida"/>
            <w:rPr>
              <w:rFonts w:hAnsi="Symbol" w:cs="Symbol"/>
              <w:sz w:val="20"/>
              <w:szCs w:val="20"/>
            </w:rPr>
          </w:pPr>
        </w:p>
        <w:p w:rsidR="00F64FF7" w:rsidRDefault="00F64FF7" w:rsidP="00F64FF7">
          <w:pPr>
            <w:snapToGrid w:val="0"/>
            <w:spacing w:after="0" w:line="240" w:lineRule="auto"/>
            <w:jc w:val="lowKashida"/>
            <w:rPr>
              <w:rFonts w:hAnsi="Symbol" w:cs="Symbol"/>
              <w:sz w:val="20"/>
              <w:szCs w:val="20"/>
            </w:rPr>
          </w:pPr>
        </w:p>
        <w:p w:rsidR="00F64FF7" w:rsidRPr="00F64FF7" w:rsidRDefault="00F64FF7" w:rsidP="008D658C">
          <w:pPr>
            <w:snapToGrid w:val="0"/>
            <w:spacing w:after="0" w:line="240" w:lineRule="auto"/>
            <w:jc w:val="lowKashida"/>
            <w:rPr>
              <w:rFonts w:ascii="Times New Roman" w:hAnsi="Times New Roman" w:cs="Times New Roman"/>
              <w:sz w:val="24"/>
              <w:szCs w:val="24"/>
            </w:rPr>
          </w:pPr>
          <w:r w:rsidRPr="00F64FF7">
            <w:rPr>
              <w:rFonts w:ascii="Times New Roman" w:hAnsi="Times New Roman" w:cs="Times New Roman"/>
              <w:sz w:val="24"/>
              <w:szCs w:val="24"/>
            </w:rPr>
            <w:sym w:font="Symbol" w:char="00D3"/>
          </w:r>
          <w:r w:rsidR="008D658C">
            <w:rPr>
              <w:rFonts w:ascii="Times New Roman" w:hAnsi="Times New Roman" w:cs="Times New Roman"/>
              <w:sz w:val="24"/>
              <w:szCs w:val="24"/>
            </w:rPr>
            <w:t>April</w:t>
          </w:r>
          <w:r w:rsidRPr="00F64FF7">
            <w:rPr>
              <w:rFonts w:ascii="Times New Roman" w:hAnsi="Times New Roman" w:cs="Times New Roman"/>
              <w:sz w:val="24"/>
              <w:szCs w:val="24"/>
            </w:rPr>
            <w:t xml:space="preserve"> </w:t>
          </w:r>
          <w:r w:rsidRPr="00F64FF7">
            <w:rPr>
              <w:rFonts w:ascii="Times New Roman" w:hAnsi="Times New Roman" w:cs="Times New Roman"/>
              <w:sz w:val="24"/>
              <w:szCs w:val="24"/>
              <w:lang w:val="en-AU"/>
            </w:rPr>
            <w:t>2015</w:t>
          </w:r>
          <w:r w:rsidRPr="00F64FF7">
            <w:rPr>
              <w:rFonts w:ascii="Times New Roman" w:hAnsi="Times New Roman" w:cs="Times New Roman"/>
              <w:sz w:val="24"/>
              <w:szCs w:val="24"/>
            </w:rPr>
            <w:t>.</w:t>
          </w:r>
        </w:p>
        <w:p w:rsidR="00F64FF7" w:rsidRPr="00F64FF7" w:rsidRDefault="00F64FF7" w:rsidP="00F64FF7">
          <w:pPr>
            <w:snapToGrid w:val="0"/>
            <w:spacing w:after="0" w:line="240" w:lineRule="auto"/>
            <w:jc w:val="lowKashida"/>
            <w:rPr>
              <w:rFonts w:ascii="Times New Roman" w:hAnsi="Times New Roman" w:cs="Times New Roman"/>
              <w:b/>
              <w:bCs/>
              <w:sz w:val="24"/>
              <w:szCs w:val="24"/>
            </w:rPr>
          </w:pPr>
          <w:r w:rsidRPr="00F64FF7">
            <w:rPr>
              <w:rFonts w:ascii="Times New Roman" w:hAnsi="Times New Roman" w:cs="Times New Roman"/>
              <w:b/>
              <w:bCs/>
              <w:sz w:val="24"/>
              <w:szCs w:val="24"/>
            </w:rPr>
            <w:t>All rights reserved</w:t>
          </w:r>
        </w:p>
        <w:p w:rsidR="00F64FF7" w:rsidRPr="00F64FF7" w:rsidRDefault="00F64FF7" w:rsidP="00F64FF7">
          <w:pPr>
            <w:snapToGrid w:val="0"/>
            <w:spacing w:after="0" w:line="240" w:lineRule="auto"/>
            <w:jc w:val="lowKashida"/>
            <w:rPr>
              <w:rFonts w:ascii="Times New Roman" w:hAnsi="Times New Roman" w:cs="Times New Roman"/>
              <w:b/>
              <w:bCs/>
              <w:sz w:val="24"/>
              <w:szCs w:val="24"/>
            </w:rPr>
          </w:pPr>
        </w:p>
        <w:p w:rsidR="00F64FF7" w:rsidRPr="00F64FF7" w:rsidRDefault="00F64FF7" w:rsidP="00F64FF7">
          <w:pPr>
            <w:snapToGrid w:val="0"/>
            <w:spacing w:after="0" w:line="240" w:lineRule="auto"/>
            <w:jc w:val="lowKashida"/>
            <w:rPr>
              <w:rFonts w:ascii="Times New Roman" w:hAnsi="Times New Roman" w:cs="Times New Roman"/>
              <w:b/>
              <w:bCs/>
              <w:sz w:val="24"/>
              <w:szCs w:val="24"/>
            </w:rPr>
          </w:pPr>
          <w:r w:rsidRPr="00F64FF7">
            <w:rPr>
              <w:rFonts w:ascii="Times New Roman" w:hAnsi="Times New Roman" w:cs="Times New Roman"/>
              <w:b/>
              <w:bCs/>
              <w:sz w:val="24"/>
              <w:szCs w:val="24"/>
            </w:rPr>
            <w:t>Citation:</w:t>
          </w:r>
        </w:p>
        <w:p w:rsidR="00F64FF7" w:rsidRPr="00F64FF7" w:rsidRDefault="00F64FF7" w:rsidP="00F64FF7">
          <w:pPr>
            <w:spacing w:after="0" w:line="240" w:lineRule="auto"/>
            <w:rPr>
              <w:rFonts w:ascii="Times New Roman" w:hAnsi="Times New Roman" w:cs="Times New Roman"/>
              <w:b/>
              <w:bCs/>
              <w:sz w:val="24"/>
              <w:szCs w:val="24"/>
            </w:rPr>
          </w:pPr>
        </w:p>
        <w:p w:rsidR="00F64FF7" w:rsidRPr="00F64FF7" w:rsidRDefault="00F64FF7" w:rsidP="00F64FF7">
          <w:pPr>
            <w:spacing w:after="0" w:line="240" w:lineRule="auto"/>
            <w:rPr>
              <w:rFonts w:ascii="Times New Roman" w:hAnsi="Times New Roman" w:cs="Times New Roman"/>
              <w:i/>
              <w:iCs/>
              <w:sz w:val="24"/>
              <w:szCs w:val="24"/>
            </w:rPr>
          </w:pPr>
          <w:r w:rsidRPr="00F64FF7">
            <w:rPr>
              <w:rFonts w:ascii="Times New Roman" w:hAnsi="Times New Roman" w:cs="Times New Roman"/>
              <w:b/>
              <w:bCs/>
              <w:sz w:val="24"/>
              <w:szCs w:val="24"/>
            </w:rPr>
            <w:t xml:space="preserve">Palestinian Central Bureau of Statistics, </w:t>
          </w:r>
          <w:r w:rsidRPr="00F64FF7">
            <w:rPr>
              <w:rFonts w:ascii="Times New Roman" w:hAnsi="Times New Roman" w:cs="Times New Roman"/>
              <w:b/>
              <w:bCs/>
              <w:sz w:val="24"/>
              <w:szCs w:val="24"/>
              <w:lang w:val="en-AU"/>
            </w:rPr>
            <w:t>2015</w:t>
          </w:r>
          <w:r w:rsidRPr="00F64FF7">
            <w:rPr>
              <w:rFonts w:ascii="Times New Roman" w:hAnsi="Times New Roman" w:cs="Times New Roman"/>
              <w:b/>
              <w:bCs/>
              <w:sz w:val="24"/>
              <w:szCs w:val="24"/>
            </w:rPr>
            <w:t xml:space="preserve">.  </w:t>
          </w:r>
          <w:sdt>
            <w:sdtPr>
              <w:rPr>
                <w:rFonts w:ascii="Times New Roman" w:hAnsi="Times New Roman" w:cs="Times New Roman"/>
                <w:b/>
                <w:bCs/>
                <w:sz w:val="24"/>
                <w:szCs w:val="24"/>
              </w:rPr>
              <w:alias w:val="Title"/>
              <w:id w:val="15856641"/>
              <w:dataBinding w:prefixMappings="xmlns:ns0='http://schemas.openxmlformats.org/package/2006/metadata/core-properties' xmlns:ns1='http://purl.org/dc/elements/1.1/'" w:xpath="/ns0:coreProperties[1]/ns1:title[1]" w:storeItemID="{6C3C8BC8-F283-45AE-878A-BAB7291924A1}"/>
              <w:text/>
            </w:sdtPr>
            <w:sdtContent>
              <w:r w:rsidR="002D39C5">
                <w:rPr>
                  <w:rFonts w:ascii="Times New Roman" w:hAnsi="Times New Roman" w:cs="Times New Roman" w:hint="cs"/>
                  <w:b/>
                  <w:bCs/>
                  <w:sz w:val="24"/>
                  <w:szCs w:val="24"/>
                </w:rPr>
                <w:t>The Status of the Rights of Palestinian Children 2014</w:t>
              </w:r>
            </w:sdtContent>
          </w:sdt>
        </w:p>
        <w:p w:rsidR="00F64FF7" w:rsidRPr="00F64FF7" w:rsidRDefault="00F64FF7" w:rsidP="00F64FF7">
          <w:pPr>
            <w:spacing w:after="0" w:line="240" w:lineRule="auto"/>
            <w:rPr>
              <w:rFonts w:ascii="Times New Roman" w:hAnsi="Times New Roman" w:cs="Times New Roman"/>
              <w:i/>
              <w:iCs/>
              <w:sz w:val="24"/>
              <w:szCs w:val="24"/>
            </w:rPr>
          </w:pPr>
          <w:r w:rsidRPr="00F64FF7">
            <w:rPr>
              <w:rFonts w:ascii="Times New Roman" w:hAnsi="Times New Roman" w:cs="Times New Roman"/>
              <w:sz w:val="24"/>
              <w:szCs w:val="24"/>
            </w:rPr>
            <w:t>Ramallah - Palestine.</w:t>
          </w:r>
        </w:p>
        <w:p w:rsidR="00F64FF7" w:rsidRPr="00F64FF7" w:rsidRDefault="00F64FF7" w:rsidP="00F64FF7">
          <w:pPr>
            <w:spacing w:after="0" w:line="240" w:lineRule="auto"/>
            <w:rPr>
              <w:rFonts w:ascii="Times New Roman" w:hAnsi="Times New Roman" w:cs="Times New Roman"/>
              <w:sz w:val="24"/>
              <w:szCs w:val="24"/>
            </w:rPr>
          </w:pPr>
        </w:p>
        <w:p w:rsidR="00F64FF7" w:rsidRPr="00F64FF7" w:rsidRDefault="00F64FF7" w:rsidP="00F64FF7">
          <w:pPr>
            <w:spacing w:after="0" w:line="240" w:lineRule="auto"/>
            <w:rPr>
              <w:rFonts w:ascii="Times New Roman" w:hAnsi="Times New Roman" w:cs="Times New Roman"/>
              <w:sz w:val="24"/>
              <w:szCs w:val="24"/>
            </w:rPr>
          </w:pPr>
          <w:r w:rsidRPr="00F64FF7">
            <w:rPr>
              <w:rFonts w:ascii="Times New Roman" w:hAnsi="Times New Roman" w:cs="Times New Roman"/>
              <w:sz w:val="24"/>
              <w:szCs w:val="24"/>
            </w:rPr>
            <w:t>All correspondence should</w:t>
          </w:r>
          <w:r w:rsidRPr="00F64FF7">
            <w:rPr>
              <w:rFonts w:ascii="Times New Roman" w:hAnsi="Times New Roman" w:cs="Times New Roman"/>
              <w:sz w:val="24"/>
              <w:szCs w:val="24"/>
              <w:rtl/>
            </w:rPr>
            <w:t xml:space="preserve"> </w:t>
          </w:r>
          <w:r w:rsidRPr="00F64FF7">
            <w:rPr>
              <w:rFonts w:ascii="Times New Roman" w:hAnsi="Times New Roman" w:cs="Times New Roman"/>
              <w:sz w:val="24"/>
              <w:szCs w:val="24"/>
            </w:rPr>
            <w:t>be directed to</w:t>
          </w:r>
          <w:r w:rsidRPr="00F64FF7">
            <w:rPr>
              <w:rFonts w:ascii="Times New Roman" w:hAnsi="Times New Roman" w:cs="Times New Roman"/>
              <w:sz w:val="24"/>
              <w:szCs w:val="24"/>
              <w:rtl/>
            </w:rPr>
            <w:t>:</w:t>
          </w:r>
        </w:p>
        <w:p w:rsidR="00F64FF7" w:rsidRPr="00F64FF7" w:rsidRDefault="00F64FF7" w:rsidP="00F64FF7">
          <w:pPr>
            <w:spacing w:after="0" w:line="240" w:lineRule="auto"/>
            <w:rPr>
              <w:rFonts w:ascii="Times New Roman" w:hAnsi="Times New Roman" w:cs="Times New Roman"/>
              <w:b/>
              <w:bCs/>
              <w:sz w:val="24"/>
              <w:szCs w:val="24"/>
            </w:rPr>
          </w:pPr>
          <w:r w:rsidRPr="00F64FF7">
            <w:rPr>
              <w:rFonts w:ascii="Times New Roman" w:hAnsi="Times New Roman" w:cs="Times New Roman"/>
              <w:b/>
              <w:bCs/>
              <w:sz w:val="24"/>
              <w:szCs w:val="24"/>
            </w:rPr>
            <w:t>Palestinian Central Bureau of Statistics</w:t>
          </w:r>
        </w:p>
        <w:p w:rsidR="00F64FF7" w:rsidRPr="00F64FF7" w:rsidRDefault="00F64FF7" w:rsidP="00F64FF7">
          <w:pPr>
            <w:spacing w:after="0" w:line="240" w:lineRule="auto"/>
            <w:rPr>
              <w:rFonts w:ascii="Times New Roman" w:hAnsi="Times New Roman" w:cs="Times New Roman"/>
              <w:sz w:val="24"/>
              <w:szCs w:val="24"/>
            </w:rPr>
          </w:pPr>
          <w:r w:rsidRPr="00F64FF7">
            <w:rPr>
              <w:rFonts w:ascii="Times New Roman" w:hAnsi="Times New Roman" w:cs="Times New Roman"/>
              <w:b/>
              <w:bCs/>
              <w:sz w:val="24"/>
              <w:szCs w:val="24"/>
            </w:rPr>
            <w:t>P. O. Box 1647,</w:t>
          </w:r>
          <w:r w:rsidRPr="00F64FF7">
            <w:rPr>
              <w:rFonts w:ascii="Times New Roman" w:hAnsi="Times New Roman" w:cs="Times New Roman"/>
              <w:sz w:val="24"/>
              <w:szCs w:val="24"/>
            </w:rPr>
            <w:t xml:space="preserve"> Ramallah – Palestine. </w:t>
          </w:r>
        </w:p>
        <w:p w:rsidR="00F64FF7" w:rsidRPr="00F64FF7" w:rsidRDefault="00F64FF7" w:rsidP="00F64FF7">
          <w:pPr>
            <w:spacing w:after="0" w:line="240" w:lineRule="auto"/>
            <w:rPr>
              <w:rFonts w:ascii="Times New Roman" w:hAnsi="Times New Roman" w:cs="Times New Roman"/>
              <w:sz w:val="24"/>
              <w:szCs w:val="24"/>
            </w:rPr>
          </w:pPr>
        </w:p>
        <w:p w:rsidR="00F64FF7" w:rsidRPr="00F64FF7" w:rsidRDefault="00F64FF7" w:rsidP="00F64FF7">
          <w:pPr>
            <w:spacing w:after="0" w:line="240" w:lineRule="auto"/>
            <w:rPr>
              <w:rFonts w:ascii="Times New Roman" w:hAnsi="Times New Roman" w:cs="Times New Roman"/>
              <w:sz w:val="20"/>
              <w:szCs w:val="20"/>
              <w:lang w:eastAsia="fr-FR"/>
            </w:rPr>
          </w:pPr>
          <w:r w:rsidRPr="00F64FF7">
            <w:rPr>
              <w:rFonts w:ascii="Times New Roman" w:hAnsi="Times New Roman" w:cs="Times New Roman"/>
              <w:sz w:val="20"/>
              <w:szCs w:val="20"/>
              <w:lang w:eastAsia="fr-FR"/>
            </w:rPr>
            <w:t xml:space="preserve">Tel: </w:t>
          </w:r>
          <w:r w:rsidRPr="00F64FF7">
            <w:rPr>
              <w:rFonts w:ascii="Times New Roman" w:hAnsi="Times New Roman" w:cs="Times New Roman"/>
              <w:sz w:val="20"/>
              <w:szCs w:val="20"/>
            </w:rPr>
            <w:t>(970/972) 2 2982700</w:t>
          </w:r>
        </w:p>
        <w:p w:rsidR="00F64FF7" w:rsidRPr="00F64FF7" w:rsidRDefault="00F64FF7" w:rsidP="00F64FF7">
          <w:pPr>
            <w:spacing w:after="0" w:line="240" w:lineRule="auto"/>
            <w:rPr>
              <w:rFonts w:ascii="Times New Roman" w:hAnsi="Times New Roman" w:cs="Times New Roman"/>
              <w:sz w:val="20"/>
              <w:szCs w:val="20"/>
            </w:rPr>
          </w:pPr>
          <w:r w:rsidRPr="00F64FF7">
            <w:rPr>
              <w:rFonts w:ascii="Times New Roman" w:hAnsi="Times New Roman" w:cs="Times New Roman"/>
              <w:sz w:val="20"/>
              <w:szCs w:val="20"/>
              <w:lang w:eastAsia="fr-FR"/>
            </w:rPr>
            <w:t xml:space="preserve">Fax: </w:t>
          </w:r>
          <w:r w:rsidRPr="00F64FF7">
            <w:rPr>
              <w:rFonts w:ascii="Times New Roman" w:hAnsi="Times New Roman" w:cs="Times New Roman"/>
              <w:sz w:val="20"/>
              <w:szCs w:val="20"/>
            </w:rPr>
            <w:t>(970/972) 2 2982710</w:t>
          </w:r>
        </w:p>
        <w:p w:rsidR="00F64FF7" w:rsidRPr="00F64FF7" w:rsidRDefault="00F64FF7" w:rsidP="00F64FF7">
          <w:pPr>
            <w:spacing w:after="0" w:line="240" w:lineRule="auto"/>
            <w:rPr>
              <w:rFonts w:ascii="Times New Roman" w:hAnsi="Times New Roman" w:cs="Times New Roman"/>
              <w:sz w:val="20"/>
              <w:szCs w:val="20"/>
              <w:rtl/>
            </w:rPr>
          </w:pPr>
          <w:r w:rsidRPr="00F64FF7">
            <w:rPr>
              <w:rFonts w:ascii="Times New Roman" w:hAnsi="Times New Roman" w:cs="Times New Roman"/>
              <w:sz w:val="20"/>
              <w:szCs w:val="20"/>
            </w:rPr>
            <w:t>Toll Free:1800300300</w:t>
          </w:r>
        </w:p>
        <w:p w:rsidR="00F64FF7" w:rsidRPr="00F64FF7" w:rsidRDefault="00F64FF7" w:rsidP="00F64FF7">
          <w:pPr>
            <w:spacing w:after="0" w:line="240" w:lineRule="auto"/>
            <w:rPr>
              <w:rFonts w:ascii="Times New Roman" w:hAnsi="Times New Roman" w:cs="Times New Roman"/>
              <w:sz w:val="20"/>
              <w:szCs w:val="20"/>
            </w:rPr>
          </w:pPr>
          <w:r w:rsidRPr="00F64FF7">
            <w:rPr>
              <w:rFonts w:ascii="Times New Roman" w:hAnsi="Times New Roman" w:cs="Times New Roman"/>
              <w:sz w:val="20"/>
              <w:szCs w:val="20"/>
              <w:lang w:eastAsia="fr-FR"/>
            </w:rPr>
            <w:t>E-Mail</w:t>
          </w:r>
          <w:r w:rsidRPr="00F64FF7">
            <w:rPr>
              <w:rFonts w:ascii="Times New Roman" w:hAnsi="Times New Roman" w:cs="Times New Roman"/>
              <w:sz w:val="20"/>
              <w:szCs w:val="20"/>
              <w:rtl/>
            </w:rPr>
            <w:t xml:space="preserve">: </w:t>
          </w:r>
          <w:r w:rsidRPr="00F64FF7">
            <w:rPr>
              <w:rFonts w:ascii="Times New Roman" w:hAnsi="Times New Roman" w:cs="Times New Roman"/>
              <w:sz w:val="20"/>
              <w:szCs w:val="20"/>
              <w:lang w:eastAsia="fr-FR"/>
            </w:rPr>
            <w:t>diwan@pcbs.gov.ps</w:t>
          </w:r>
        </w:p>
        <w:p w:rsidR="00F64FF7" w:rsidRPr="00F64FF7" w:rsidRDefault="00F64FF7" w:rsidP="00F00743">
          <w:pPr>
            <w:pStyle w:val="BlockText"/>
            <w:ind w:left="0" w:right="0"/>
            <w:jc w:val="right"/>
            <w:rPr>
              <w:rFonts w:cs="Times New Roman"/>
              <w:b/>
              <w:bCs/>
              <w:sz w:val="22"/>
              <w:szCs w:val="22"/>
            </w:rPr>
          </w:pPr>
          <w:r w:rsidRPr="00F64FF7">
            <w:rPr>
              <w:rFonts w:cs="Times New Roman"/>
              <w:szCs w:val="20"/>
            </w:rPr>
            <w:t>Website:  http://www.pcbs.gov.ps</w:t>
          </w:r>
          <w:r w:rsidRPr="00F64FF7">
            <w:rPr>
              <w:rFonts w:cs="Times New Roman"/>
              <w:b/>
              <w:bCs/>
              <w:szCs w:val="20"/>
            </w:rPr>
            <w:t xml:space="preserve">                                                                             </w:t>
          </w:r>
          <w:r w:rsidRPr="00F64FF7">
            <w:rPr>
              <w:rFonts w:cs="Times New Roman"/>
              <w:szCs w:val="20"/>
            </w:rPr>
            <w:t xml:space="preserve">Reference </w:t>
          </w:r>
          <w:r w:rsidRPr="00F64FF7">
            <w:rPr>
              <w:rFonts w:cs="Times New Roman"/>
              <w:sz w:val="22"/>
              <w:szCs w:val="22"/>
            </w:rPr>
            <w:t xml:space="preserve">ID: </w:t>
          </w:r>
          <w:r w:rsidR="00F00743">
            <w:rPr>
              <w:rFonts w:cs="Times New Roman"/>
              <w:sz w:val="22"/>
              <w:szCs w:val="22"/>
            </w:rPr>
            <w:t>2147</w:t>
          </w:r>
        </w:p>
        <w:p w:rsidR="00600FC9" w:rsidRPr="00F64FF7" w:rsidRDefault="00600FC9" w:rsidP="008E657F">
          <w:pPr>
            <w:jc w:val="both"/>
            <w:rPr>
              <w:rFonts w:ascii="Times New Roman" w:hAnsi="Times New Roman" w:cs="Times New Roman"/>
              <w:rtl/>
            </w:rPr>
          </w:pPr>
        </w:p>
        <w:p w:rsidR="00600FC9" w:rsidRPr="003122A3" w:rsidRDefault="00600FC9" w:rsidP="008E657F">
          <w:pPr>
            <w:jc w:val="both"/>
            <w:rPr>
              <w:rFonts w:ascii="Times New Roman" w:hAnsi="Times New Roman" w:cs="Times New Roman"/>
              <w:sz w:val="20"/>
              <w:szCs w:val="20"/>
              <w:rtl/>
            </w:rPr>
          </w:pPr>
          <w:r w:rsidRPr="003122A3">
            <w:rPr>
              <w:rFonts w:ascii="Times New Roman" w:hAnsi="Times New Roman" w:cs="Times New Roman"/>
            </w:rPr>
            <w:t xml:space="preserve">This report has been prepared with financial and technical support from </w:t>
          </w:r>
          <w:r w:rsidRPr="003122A3">
            <w:rPr>
              <w:rFonts w:ascii="Times New Roman" w:hAnsi="Times New Roman" w:cs="Times New Roman"/>
              <w:b/>
              <w:bCs/>
            </w:rPr>
            <w:t>Save the Children.</w:t>
          </w:r>
        </w:p>
        <w:p w:rsidR="00600FC9" w:rsidRPr="003122A3" w:rsidRDefault="00600FC9" w:rsidP="00C3337D">
          <w:pPr>
            <w:jc w:val="center"/>
            <w:rPr>
              <w:rFonts w:ascii="Times New Roman" w:hAnsi="Times New Roman" w:cs="Times New Roman"/>
              <w:rtl/>
            </w:rPr>
          </w:pPr>
          <w:r w:rsidRPr="003122A3">
            <w:rPr>
              <w:rFonts w:ascii="Times New Roman" w:hAnsi="Times New Roman" w:cs="Times New Roman"/>
              <w:noProof/>
            </w:rPr>
            <w:drawing>
              <wp:inline distT="0" distB="0" distL="0" distR="0">
                <wp:extent cx="2028825" cy="371475"/>
                <wp:effectExtent l="19050" t="0" r="9525" b="0"/>
                <wp:docPr id="55" name="Picture 6" descr="Home">
                  <a:hlinkClick xmlns:a="http://schemas.openxmlformats.org/drawingml/2006/main" r:id="rId11" tooltip="&quot;Home&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me"/>
                        <pic:cNvPicPr>
                          <a:picLocks noChangeAspect="1" noChangeArrowheads="1"/>
                        </pic:cNvPicPr>
                      </pic:nvPicPr>
                      <pic:blipFill>
                        <a:blip r:embed="rId12" cstate="print"/>
                        <a:srcRect/>
                        <a:stretch>
                          <a:fillRect/>
                        </a:stretch>
                      </pic:blipFill>
                      <pic:spPr bwMode="auto">
                        <a:xfrm>
                          <a:off x="0" y="0"/>
                          <a:ext cx="2028825" cy="371475"/>
                        </a:xfrm>
                        <a:prstGeom prst="rect">
                          <a:avLst/>
                        </a:prstGeom>
                        <a:noFill/>
                        <a:ln w="9525">
                          <a:noFill/>
                          <a:miter lim="800000"/>
                          <a:headEnd/>
                          <a:tailEnd/>
                        </a:ln>
                      </pic:spPr>
                    </pic:pic>
                  </a:graphicData>
                </a:graphic>
              </wp:inline>
            </w:drawing>
          </w:r>
        </w:p>
        <w:p w:rsidR="00E86580" w:rsidRPr="003122A3" w:rsidRDefault="00600FC9" w:rsidP="008E657F">
          <w:pPr>
            <w:jc w:val="center"/>
            <w:rPr>
              <w:rFonts w:ascii="Times New Roman" w:hAnsi="Times New Roman" w:cs="Times New Roman"/>
              <w:b/>
              <w:bCs/>
              <w:sz w:val="28"/>
              <w:szCs w:val="28"/>
              <w:rtl/>
            </w:rPr>
          </w:pPr>
          <w:r w:rsidRPr="003122A3">
            <w:rPr>
              <w:rFonts w:ascii="Times New Roman" w:hAnsi="Times New Roman" w:cs="Times New Roman"/>
              <w:b/>
              <w:bCs/>
              <w:sz w:val="28"/>
              <w:szCs w:val="28"/>
            </w:rPr>
            <w:t>Acknowledgement</w:t>
          </w:r>
        </w:p>
        <w:p w:rsidR="00E86580" w:rsidRPr="00C240A8" w:rsidRDefault="00E86580" w:rsidP="008E657F">
          <w:pPr>
            <w:jc w:val="both"/>
            <w:rPr>
              <w:rFonts w:ascii="Times New Roman" w:hAnsi="Times New Roman" w:cs="Times New Roman"/>
              <w:b/>
              <w:bCs/>
              <w:sz w:val="24"/>
              <w:szCs w:val="24"/>
              <w:rtl/>
            </w:rPr>
          </w:pPr>
        </w:p>
        <w:p w:rsidR="00600FC9" w:rsidRDefault="00600FC9" w:rsidP="00DB689D">
          <w:pPr>
            <w:spacing w:after="0" w:line="240" w:lineRule="auto"/>
            <w:jc w:val="both"/>
            <w:rPr>
              <w:rFonts w:ascii="Times New Roman" w:hAnsi="Times New Roman" w:cs="Times New Roman"/>
              <w:b/>
              <w:bCs/>
              <w:sz w:val="24"/>
              <w:szCs w:val="24"/>
            </w:rPr>
          </w:pPr>
          <w:r w:rsidRPr="00DB689D">
            <w:rPr>
              <w:rFonts w:ascii="Times New Roman" w:hAnsi="Times New Roman" w:cs="Times New Roman"/>
              <w:b/>
              <w:bCs/>
              <w:sz w:val="24"/>
              <w:szCs w:val="24"/>
            </w:rPr>
            <w:t>This report was prepared by a National Technical Team chaired by the Palestinian Central Bureau of Statistics, relevant National Institutions and Save the Children, which also provided financial and technical support. PCBS expresses its sincere thanks and appreciation to Save the Children for their invaluable contribution to the publication of this report</w:t>
          </w:r>
          <w:r w:rsidRPr="00DB689D">
            <w:rPr>
              <w:rFonts w:ascii="Times New Roman" w:hAnsi="Times New Roman" w:cs="Times New Roman"/>
              <w:b/>
              <w:bCs/>
              <w:sz w:val="24"/>
              <w:szCs w:val="24"/>
              <w:rtl/>
            </w:rPr>
            <w:t>.</w:t>
          </w:r>
        </w:p>
        <w:p w:rsidR="00DB689D" w:rsidRPr="00DB689D" w:rsidRDefault="00DB689D" w:rsidP="00DB689D">
          <w:pPr>
            <w:spacing w:after="0" w:line="240" w:lineRule="auto"/>
            <w:jc w:val="both"/>
            <w:rPr>
              <w:rFonts w:ascii="Times New Roman" w:hAnsi="Times New Roman" w:cs="Times New Roman"/>
              <w:b/>
              <w:bCs/>
              <w:sz w:val="24"/>
              <w:szCs w:val="24"/>
            </w:rPr>
          </w:pPr>
        </w:p>
        <w:p w:rsidR="00600FC9" w:rsidRPr="00DB689D" w:rsidRDefault="00600FC9" w:rsidP="00DB689D">
          <w:pPr>
            <w:spacing w:after="0" w:line="240" w:lineRule="auto"/>
            <w:jc w:val="both"/>
            <w:rPr>
              <w:rFonts w:ascii="Times New Roman" w:hAnsi="Times New Roman" w:cs="Times New Roman"/>
              <w:b/>
              <w:bCs/>
              <w:sz w:val="24"/>
              <w:szCs w:val="24"/>
            </w:rPr>
          </w:pPr>
          <w:r w:rsidRPr="00DB689D">
            <w:rPr>
              <w:rFonts w:ascii="Times New Roman" w:hAnsi="Times New Roman" w:cs="Times New Roman"/>
              <w:b/>
              <w:bCs/>
              <w:sz w:val="24"/>
              <w:szCs w:val="24"/>
            </w:rPr>
            <w:t>PCBS is also grateful to the members of the National Technical Committee who contributed to the publication of the first draft of this report, which is an updated version of the first report.</w:t>
          </w:r>
        </w:p>
        <w:p w:rsidR="00DD1D2D" w:rsidRPr="003122A3" w:rsidRDefault="00DD1D2D" w:rsidP="008E657F">
          <w:pPr>
            <w:jc w:val="both"/>
            <w:rPr>
              <w:rFonts w:ascii="Times New Roman" w:hAnsi="Times New Roman" w:cs="Times New Roman"/>
              <w:b/>
              <w:bCs/>
              <w:noProof/>
              <w:color w:val="FF0000"/>
              <w:sz w:val="28"/>
              <w:szCs w:val="28"/>
              <w:rtl/>
            </w:rPr>
          </w:pPr>
        </w:p>
        <w:p w:rsidR="00424983" w:rsidRDefault="00424983">
          <w:pPr>
            <w:rPr>
              <w:rFonts w:ascii="Times New Roman" w:hAnsi="Times New Roman" w:cs="Times New Roman"/>
              <w:b/>
              <w:bCs/>
              <w:noProof/>
              <w:color w:val="FF0000"/>
              <w:sz w:val="24"/>
              <w:szCs w:val="24"/>
              <w:rtl/>
            </w:rPr>
          </w:pPr>
          <w:r>
            <w:rPr>
              <w:rFonts w:ascii="Times New Roman" w:hAnsi="Times New Roman" w:cs="Times New Roman"/>
              <w:b/>
              <w:bCs/>
              <w:noProof/>
              <w:color w:val="FF0000"/>
              <w:sz w:val="24"/>
              <w:szCs w:val="24"/>
              <w:rtl/>
            </w:rPr>
            <w:br w:type="page"/>
          </w:r>
        </w:p>
        <w:p w:rsidR="00570C86" w:rsidRPr="003122A3" w:rsidRDefault="00D6093D" w:rsidP="008E657F">
          <w:pPr>
            <w:jc w:val="both"/>
            <w:rPr>
              <w:rFonts w:ascii="Times New Roman" w:hAnsi="Times New Roman" w:cs="Times New Roman"/>
              <w:color w:val="FF0000"/>
              <w:rtl/>
            </w:rPr>
          </w:pPr>
          <w:r w:rsidRPr="003122A3">
            <w:rPr>
              <w:rFonts w:ascii="Times New Roman" w:hAnsi="Times New Roman" w:cs="Times New Roman"/>
              <w:color w:val="FF0000"/>
            </w:rPr>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644.25pt" o:ole="">
                <v:imagedata r:id="rId13" o:title=""/>
              </v:shape>
              <o:OLEObject Type="Embed" ProgID="MSPhotoEd.3" ShapeID="_x0000_i1025" DrawAspect="Content" ObjectID="_1506670459" r:id="rId14"/>
            </w:object>
          </w:r>
        </w:p>
        <w:p w:rsidR="00D6093D" w:rsidRPr="003122A3" w:rsidRDefault="00D6093D" w:rsidP="008E657F">
          <w:pPr>
            <w:jc w:val="both"/>
            <w:rPr>
              <w:rFonts w:ascii="Times New Roman" w:hAnsi="Times New Roman" w:cs="Times New Roman"/>
              <w:b/>
              <w:bCs/>
              <w:color w:val="FF0000"/>
              <w:sz w:val="24"/>
              <w:szCs w:val="24"/>
              <w:rtl/>
            </w:rPr>
          </w:pPr>
        </w:p>
        <w:p w:rsidR="00424983" w:rsidRDefault="00424983">
          <w:pPr>
            <w:rPr>
              <w:rFonts w:ascii="Times New Roman" w:hAnsi="Times New Roman" w:cs="Times New Roman"/>
              <w:b/>
              <w:bCs/>
              <w:sz w:val="28"/>
              <w:szCs w:val="28"/>
            </w:rPr>
          </w:pPr>
          <w:r>
            <w:rPr>
              <w:rFonts w:ascii="Times New Roman" w:hAnsi="Times New Roman" w:cs="Times New Roman"/>
              <w:b/>
              <w:bCs/>
              <w:sz w:val="28"/>
              <w:szCs w:val="28"/>
            </w:rPr>
            <w:br w:type="page"/>
          </w:r>
        </w:p>
        <w:p w:rsidR="00DD1D2D" w:rsidRDefault="00600FC9" w:rsidP="00DB689D">
          <w:pPr>
            <w:spacing w:after="0" w:line="240" w:lineRule="auto"/>
            <w:jc w:val="center"/>
            <w:rPr>
              <w:rFonts w:ascii="Times New Roman" w:hAnsi="Times New Roman" w:cs="Times New Roman"/>
              <w:b/>
              <w:bCs/>
              <w:sz w:val="28"/>
              <w:szCs w:val="28"/>
            </w:rPr>
          </w:pPr>
          <w:r w:rsidRPr="003122A3">
            <w:rPr>
              <w:rFonts w:ascii="Times New Roman" w:hAnsi="Times New Roman" w:cs="Times New Roman"/>
              <w:b/>
              <w:bCs/>
              <w:sz w:val="28"/>
              <w:szCs w:val="28"/>
            </w:rPr>
            <w:t>Work Team</w:t>
          </w:r>
        </w:p>
        <w:p w:rsidR="003400C4" w:rsidRDefault="003400C4" w:rsidP="00DB689D">
          <w:pPr>
            <w:spacing w:after="0" w:line="240" w:lineRule="auto"/>
            <w:jc w:val="center"/>
            <w:rPr>
              <w:rFonts w:ascii="Times New Roman" w:hAnsi="Times New Roman" w:cs="Times New Roman"/>
              <w:b/>
              <w:bCs/>
              <w:sz w:val="28"/>
              <w:szCs w:val="28"/>
            </w:rPr>
          </w:pPr>
        </w:p>
        <w:p w:rsidR="00424983" w:rsidRPr="003122A3" w:rsidRDefault="00424983" w:rsidP="00DB689D">
          <w:pPr>
            <w:spacing w:after="0" w:line="240" w:lineRule="auto"/>
            <w:jc w:val="center"/>
            <w:rPr>
              <w:rFonts w:ascii="Times New Roman" w:hAnsi="Times New Roman" w:cs="Times New Roman"/>
              <w:b/>
              <w:bCs/>
              <w:sz w:val="28"/>
              <w:szCs w:val="28"/>
              <w:rtl/>
            </w:rPr>
          </w:pPr>
        </w:p>
        <w:tbl>
          <w:tblPr>
            <w:tblStyle w:val="TableGrid"/>
            <w:bidiVisual/>
            <w:tblW w:w="868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75"/>
            <w:gridCol w:w="5111"/>
          </w:tblGrid>
          <w:tr w:rsidR="007A5A88" w:rsidRPr="003122A3" w:rsidTr="007A5A88">
            <w:trPr>
              <w:jc w:val="center"/>
            </w:trPr>
            <w:tc>
              <w:tcPr>
                <w:tcW w:w="8686" w:type="dxa"/>
                <w:gridSpan w:val="2"/>
              </w:tcPr>
              <w:p w:rsidR="007A5A88" w:rsidRPr="003122A3" w:rsidRDefault="00600FC9" w:rsidP="00DB689D">
                <w:pPr>
                  <w:jc w:val="both"/>
                  <w:rPr>
                    <w:rFonts w:ascii="Times New Roman" w:hAnsi="Times New Roman" w:cs="Times New Roman"/>
                    <w:b/>
                    <w:bCs/>
                    <w:sz w:val="24"/>
                    <w:szCs w:val="24"/>
                    <w:rtl/>
                  </w:rPr>
                </w:pPr>
                <w:r w:rsidRPr="003122A3">
                  <w:rPr>
                    <w:rFonts w:ascii="Times New Roman" w:hAnsi="Times New Roman" w:cs="Times New Roman"/>
                    <w:b/>
                    <w:bCs/>
                    <w:sz w:val="24"/>
                    <w:szCs w:val="24"/>
                  </w:rPr>
                  <w:t>P</w:t>
                </w:r>
                <w:r w:rsidR="007A5A88" w:rsidRPr="003122A3">
                  <w:rPr>
                    <w:rFonts w:ascii="Times New Roman" w:hAnsi="Times New Roman" w:cs="Times New Roman"/>
                    <w:b/>
                    <w:bCs/>
                    <w:sz w:val="24"/>
                    <w:szCs w:val="24"/>
                  </w:rPr>
                  <w:t>reparation of the Report</w:t>
                </w:r>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sz w:val="24"/>
                    <w:szCs w:val="24"/>
                    <w:rtl/>
                    <w:lang w:bidi="ar-JO"/>
                  </w:rPr>
                </w:pPr>
              </w:p>
            </w:tc>
            <w:tc>
              <w:tcPr>
                <w:tcW w:w="5111" w:type="dxa"/>
              </w:tcPr>
              <w:p w:rsidR="007A5A88" w:rsidRPr="003122A3" w:rsidRDefault="007A5A88" w:rsidP="00DB689D">
                <w:pPr>
                  <w:jc w:val="both"/>
                  <w:rPr>
                    <w:rFonts w:ascii="Times New Roman" w:hAnsi="Times New Roman" w:cs="Times New Roman"/>
                    <w:sz w:val="24"/>
                    <w:szCs w:val="24"/>
                    <w:rtl/>
                    <w:lang w:bidi="ar-JO"/>
                  </w:rPr>
                </w:pPr>
                <w:proofErr w:type="spellStart"/>
                <w:r w:rsidRPr="003122A3">
                  <w:rPr>
                    <w:rFonts w:ascii="Times New Roman" w:hAnsi="Times New Roman" w:cs="Times New Roman"/>
                    <w:sz w:val="24"/>
                    <w:szCs w:val="24"/>
                    <w:lang w:bidi="ar-JO"/>
                  </w:rPr>
                  <w:t>Khaled</w:t>
                </w:r>
                <w:proofErr w:type="spellEnd"/>
                <w:r w:rsidRPr="003122A3">
                  <w:rPr>
                    <w:rFonts w:ascii="Times New Roman" w:hAnsi="Times New Roman" w:cs="Times New Roman"/>
                    <w:sz w:val="24"/>
                    <w:szCs w:val="24"/>
                    <w:lang w:bidi="ar-JO"/>
                  </w:rPr>
                  <w:t xml:space="preserve"> Abu </w:t>
                </w:r>
                <w:proofErr w:type="spellStart"/>
                <w:r w:rsidRPr="003122A3">
                  <w:rPr>
                    <w:rFonts w:ascii="Times New Roman" w:hAnsi="Times New Roman" w:cs="Times New Roman"/>
                    <w:sz w:val="24"/>
                    <w:szCs w:val="24"/>
                    <w:lang w:bidi="ar-JO"/>
                  </w:rPr>
                  <w:t>Khaled</w:t>
                </w:r>
                <w:proofErr w:type="spellEnd"/>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sz w:val="24"/>
                    <w:szCs w:val="24"/>
                    <w:rtl/>
                    <w:lang w:bidi="ar-JO"/>
                  </w:rPr>
                </w:pPr>
              </w:p>
            </w:tc>
            <w:tc>
              <w:tcPr>
                <w:tcW w:w="5111" w:type="dxa"/>
              </w:tcPr>
              <w:p w:rsidR="007A5A88" w:rsidRPr="003122A3" w:rsidRDefault="007A5A88" w:rsidP="000D70A5">
                <w:pPr>
                  <w:jc w:val="both"/>
                  <w:rPr>
                    <w:rFonts w:ascii="Times New Roman" w:hAnsi="Times New Roman" w:cs="Times New Roman"/>
                    <w:sz w:val="24"/>
                    <w:szCs w:val="24"/>
                    <w:rtl/>
                    <w:lang w:bidi="ar-JO"/>
                  </w:rPr>
                </w:pPr>
                <w:r w:rsidRPr="003122A3">
                  <w:rPr>
                    <w:rFonts w:ascii="Times New Roman" w:hAnsi="Times New Roman" w:cs="Times New Roman"/>
                    <w:sz w:val="24"/>
                    <w:szCs w:val="24"/>
                  </w:rPr>
                  <w:t>Mohammad A</w:t>
                </w:r>
                <w:r w:rsidR="000D70A5">
                  <w:rPr>
                    <w:rFonts w:ascii="Times New Roman" w:hAnsi="Times New Roman" w:cs="Times New Roman"/>
                    <w:sz w:val="24"/>
                    <w:szCs w:val="24"/>
                  </w:rPr>
                  <w:t xml:space="preserve">l </w:t>
                </w:r>
                <w:proofErr w:type="spellStart"/>
                <w:r w:rsidR="00C27A7E" w:rsidRPr="003122A3">
                  <w:rPr>
                    <w:rFonts w:ascii="Times New Roman" w:hAnsi="Times New Roman" w:cs="Times New Roman"/>
                    <w:sz w:val="24"/>
                    <w:szCs w:val="24"/>
                  </w:rPr>
                  <w:t>B</w:t>
                </w:r>
                <w:r w:rsidRPr="003122A3">
                  <w:rPr>
                    <w:rFonts w:ascii="Times New Roman" w:hAnsi="Times New Roman" w:cs="Times New Roman"/>
                    <w:sz w:val="24"/>
                    <w:szCs w:val="24"/>
                  </w:rPr>
                  <w:t>arghouthi</w:t>
                </w:r>
                <w:proofErr w:type="spellEnd"/>
              </w:p>
            </w:tc>
          </w:tr>
          <w:tr w:rsidR="007A5A88" w:rsidRPr="003122A3" w:rsidTr="007A5A88">
            <w:trPr>
              <w:trHeight w:hRule="exact" w:val="173"/>
              <w:jc w:val="center"/>
            </w:trPr>
            <w:tc>
              <w:tcPr>
                <w:tcW w:w="3575" w:type="dxa"/>
              </w:tcPr>
              <w:p w:rsidR="007A5A88" w:rsidRPr="003122A3" w:rsidRDefault="007A5A88" w:rsidP="00DB689D">
                <w:pPr>
                  <w:jc w:val="both"/>
                  <w:rPr>
                    <w:rFonts w:ascii="Times New Roman" w:hAnsi="Times New Roman" w:cs="Times New Roman"/>
                    <w:b/>
                    <w:bCs/>
                    <w:sz w:val="24"/>
                    <w:szCs w:val="24"/>
                    <w:rtl/>
                  </w:rPr>
                </w:pPr>
              </w:p>
            </w:tc>
            <w:tc>
              <w:tcPr>
                <w:tcW w:w="5111" w:type="dxa"/>
              </w:tcPr>
              <w:p w:rsidR="007A5A88" w:rsidRPr="003122A3" w:rsidRDefault="007A5A88" w:rsidP="00DB689D">
                <w:pPr>
                  <w:jc w:val="both"/>
                  <w:rPr>
                    <w:rFonts w:ascii="Times New Roman" w:hAnsi="Times New Roman" w:cs="Times New Roman"/>
                    <w:b/>
                    <w:bCs/>
                    <w:sz w:val="24"/>
                    <w:szCs w:val="24"/>
                    <w:rtl/>
                  </w:rPr>
                </w:pPr>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b/>
                    <w:bCs/>
                    <w:sz w:val="24"/>
                    <w:szCs w:val="24"/>
                    <w:rtl/>
                  </w:rPr>
                </w:pPr>
              </w:p>
            </w:tc>
            <w:tc>
              <w:tcPr>
                <w:tcW w:w="5111" w:type="dxa"/>
              </w:tcPr>
              <w:p w:rsidR="007A5A88" w:rsidRPr="003122A3" w:rsidRDefault="007A5A88" w:rsidP="00DB689D">
                <w:pPr>
                  <w:jc w:val="both"/>
                  <w:rPr>
                    <w:rFonts w:ascii="Times New Roman" w:hAnsi="Times New Roman" w:cs="Times New Roman"/>
                    <w:b/>
                    <w:bCs/>
                    <w:sz w:val="24"/>
                    <w:szCs w:val="24"/>
                    <w:rtl/>
                  </w:rPr>
                </w:pPr>
                <w:r w:rsidRPr="003122A3">
                  <w:rPr>
                    <w:rFonts w:ascii="Times New Roman" w:hAnsi="Times New Roman" w:cs="Times New Roman"/>
                    <w:b/>
                    <w:bCs/>
                    <w:sz w:val="24"/>
                    <w:szCs w:val="24"/>
                  </w:rPr>
                  <w:t>Initial review</w:t>
                </w:r>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sz w:val="24"/>
                    <w:szCs w:val="24"/>
                    <w:rtl/>
                  </w:rPr>
                </w:pPr>
              </w:p>
            </w:tc>
            <w:tc>
              <w:tcPr>
                <w:tcW w:w="5111" w:type="dxa"/>
              </w:tcPr>
              <w:p w:rsidR="007A5A88" w:rsidRPr="003122A3" w:rsidRDefault="007A5A88" w:rsidP="00DB689D">
                <w:pPr>
                  <w:jc w:val="both"/>
                  <w:rPr>
                    <w:rFonts w:ascii="Times New Roman" w:hAnsi="Times New Roman" w:cs="Times New Roman"/>
                    <w:sz w:val="24"/>
                    <w:szCs w:val="24"/>
                    <w:rtl/>
                  </w:rPr>
                </w:pPr>
                <w:proofErr w:type="spellStart"/>
                <w:r w:rsidRPr="003122A3">
                  <w:rPr>
                    <w:rFonts w:ascii="Times New Roman" w:hAnsi="Times New Roman" w:cs="Times New Roman"/>
                    <w:sz w:val="24"/>
                    <w:szCs w:val="24"/>
                  </w:rPr>
                  <w:t>Khaled</w:t>
                </w:r>
                <w:proofErr w:type="spellEnd"/>
                <w:r w:rsidRPr="003122A3">
                  <w:rPr>
                    <w:rFonts w:ascii="Times New Roman" w:hAnsi="Times New Roman" w:cs="Times New Roman"/>
                    <w:sz w:val="24"/>
                    <w:szCs w:val="24"/>
                  </w:rPr>
                  <w:t xml:space="preserve"> Abu </w:t>
                </w:r>
                <w:proofErr w:type="spellStart"/>
                <w:r w:rsidRPr="003122A3">
                  <w:rPr>
                    <w:rFonts w:ascii="Times New Roman" w:hAnsi="Times New Roman" w:cs="Times New Roman"/>
                    <w:sz w:val="24"/>
                    <w:szCs w:val="24"/>
                  </w:rPr>
                  <w:t>Khaled</w:t>
                </w:r>
                <w:proofErr w:type="spellEnd"/>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sz w:val="24"/>
                    <w:szCs w:val="24"/>
                  </w:rPr>
                </w:pPr>
              </w:p>
            </w:tc>
            <w:tc>
              <w:tcPr>
                <w:tcW w:w="5111" w:type="dxa"/>
              </w:tcPr>
              <w:p w:rsidR="007A5A88" w:rsidRPr="003122A3" w:rsidRDefault="007A5A88" w:rsidP="000D70A5">
                <w:pPr>
                  <w:jc w:val="both"/>
                  <w:rPr>
                    <w:rFonts w:ascii="Times New Roman" w:hAnsi="Times New Roman" w:cs="Times New Roman"/>
                    <w:sz w:val="24"/>
                    <w:szCs w:val="24"/>
                  </w:rPr>
                </w:pPr>
                <w:proofErr w:type="spellStart"/>
                <w:r w:rsidRPr="003122A3">
                  <w:rPr>
                    <w:rFonts w:ascii="Times New Roman" w:hAnsi="Times New Roman" w:cs="Times New Roman"/>
                    <w:sz w:val="24"/>
                    <w:szCs w:val="24"/>
                  </w:rPr>
                  <w:t>Jawad</w:t>
                </w:r>
                <w:proofErr w:type="spellEnd"/>
                <w:r w:rsidRPr="003122A3">
                  <w:rPr>
                    <w:rFonts w:ascii="Times New Roman" w:hAnsi="Times New Roman" w:cs="Times New Roman"/>
                    <w:sz w:val="24"/>
                    <w:szCs w:val="24"/>
                  </w:rPr>
                  <w:t xml:space="preserve"> A</w:t>
                </w:r>
                <w:r w:rsidR="000D70A5">
                  <w:rPr>
                    <w:rFonts w:ascii="Times New Roman" w:hAnsi="Times New Roman" w:cs="Times New Roman"/>
                    <w:sz w:val="24"/>
                    <w:szCs w:val="24"/>
                  </w:rPr>
                  <w:t xml:space="preserve">l </w:t>
                </w:r>
                <w:r w:rsidR="00C27A7E" w:rsidRPr="003122A3">
                  <w:rPr>
                    <w:rFonts w:ascii="Times New Roman" w:hAnsi="Times New Roman" w:cs="Times New Roman"/>
                    <w:sz w:val="24"/>
                    <w:szCs w:val="24"/>
                  </w:rPr>
                  <w:t>S</w:t>
                </w:r>
                <w:r w:rsidRPr="003122A3">
                  <w:rPr>
                    <w:rFonts w:ascii="Times New Roman" w:hAnsi="Times New Roman" w:cs="Times New Roman"/>
                    <w:sz w:val="24"/>
                    <w:szCs w:val="24"/>
                  </w:rPr>
                  <w:t>aleh</w:t>
                </w:r>
              </w:p>
            </w:tc>
          </w:tr>
          <w:tr w:rsidR="007A5A88" w:rsidRPr="003122A3" w:rsidTr="007A5A88">
            <w:trPr>
              <w:trHeight w:hRule="exact" w:val="173"/>
              <w:jc w:val="center"/>
            </w:trPr>
            <w:tc>
              <w:tcPr>
                <w:tcW w:w="3575" w:type="dxa"/>
              </w:tcPr>
              <w:p w:rsidR="007A5A88" w:rsidRPr="003122A3" w:rsidRDefault="007A5A88" w:rsidP="00DB689D">
                <w:pPr>
                  <w:jc w:val="both"/>
                  <w:rPr>
                    <w:rFonts w:ascii="Times New Roman" w:hAnsi="Times New Roman" w:cs="Times New Roman"/>
                    <w:b/>
                    <w:bCs/>
                    <w:sz w:val="24"/>
                    <w:szCs w:val="24"/>
                    <w:rtl/>
                  </w:rPr>
                </w:pPr>
              </w:p>
            </w:tc>
            <w:tc>
              <w:tcPr>
                <w:tcW w:w="5111" w:type="dxa"/>
              </w:tcPr>
              <w:p w:rsidR="007A5A88" w:rsidRPr="003122A3" w:rsidRDefault="007A5A88" w:rsidP="00DB689D">
                <w:pPr>
                  <w:jc w:val="both"/>
                  <w:rPr>
                    <w:rFonts w:ascii="Times New Roman" w:hAnsi="Times New Roman" w:cs="Times New Roman"/>
                    <w:b/>
                    <w:bCs/>
                    <w:sz w:val="24"/>
                    <w:szCs w:val="24"/>
                    <w:rtl/>
                  </w:rPr>
                </w:pPr>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b/>
                    <w:bCs/>
                    <w:sz w:val="24"/>
                    <w:szCs w:val="24"/>
                    <w:rtl/>
                  </w:rPr>
                </w:pPr>
              </w:p>
            </w:tc>
            <w:tc>
              <w:tcPr>
                <w:tcW w:w="5111" w:type="dxa"/>
              </w:tcPr>
              <w:p w:rsidR="007A5A88" w:rsidRPr="003122A3" w:rsidRDefault="007A5A88" w:rsidP="00DB689D">
                <w:pPr>
                  <w:jc w:val="both"/>
                  <w:rPr>
                    <w:rFonts w:ascii="Times New Roman" w:hAnsi="Times New Roman" w:cs="Times New Roman"/>
                    <w:b/>
                    <w:bCs/>
                    <w:sz w:val="24"/>
                    <w:szCs w:val="24"/>
                    <w:rtl/>
                  </w:rPr>
                </w:pPr>
                <w:r w:rsidRPr="003122A3">
                  <w:rPr>
                    <w:rFonts w:ascii="Times New Roman" w:hAnsi="Times New Roman" w:cs="Times New Roman"/>
                    <w:b/>
                    <w:bCs/>
                    <w:sz w:val="24"/>
                    <w:szCs w:val="24"/>
                  </w:rPr>
                  <w:t>Final Revision</w:t>
                </w:r>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sz w:val="24"/>
                    <w:szCs w:val="24"/>
                    <w:rtl/>
                  </w:rPr>
                </w:pPr>
              </w:p>
            </w:tc>
            <w:tc>
              <w:tcPr>
                <w:tcW w:w="5111" w:type="dxa"/>
              </w:tcPr>
              <w:p w:rsidR="007A5A88" w:rsidRPr="003122A3" w:rsidRDefault="007A5A88" w:rsidP="00DB689D">
                <w:pPr>
                  <w:jc w:val="both"/>
                  <w:rPr>
                    <w:rFonts w:ascii="Times New Roman" w:hAnsi="Times New Roman" w:cs="Times New Roman"/>
                    <w:sz w:val="24"/>
                    <w:szCs w:val="24"/>
                    <w:rtl/>
                  </w:rPr>
                </w:pPr>
                <w:r w:rsidRPr="003122A3">
                  <w:rPr>
                    <w:rFonts w:ascii="Times New Roman" w:hAnsi="Times New Roman" w:cs="Times New Roman"/>
                    <w:sz w:val="24"/>
                    <w:szCs w:val="24"/>
                  </w:rPr>
                  <w:t xml:space="preserve">Mohammad </w:t>
                </w:r>
                <w:proofErr w:type="spellStart"/>
                <w:r w:rsidRPr="003122A3">
                  <w:rPr>
                    <w:rFonts w:ascii="Times New Roman" w:hAnsi="Times New Roman" w:cs="Times New Roman"/>
                    <w:sz w:val="24"/>
                    <w:szCs w:val="24"/>
                  </w:rPr>
                  <w:t>Qalalwah</w:t>
                </w:r>
                <w:proofErr w:type="spellEnd"/>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b/>
                    <w:bCs/>
                    <w:sz w:val="24"/>
                    <w:szCs w:val="24"/>
                    <w:rtl/>
                  </w:rPr>
                </w:pPr>
              </w:p>
            </w:tc>
            <w:tc>
              <w:tcPr>
                <w:tcW w:w="5111" w:type="dxa"/>
              </w:tcPr>
              <w:p w:rsidR="007A5A88" w:rsidRPr="003122A3" w:rsidRDefault="003C0EB3" w:rsidP="00DB689D">
                <w:pPr>
                  <w:jc w:val="both"/>
                  <w:rPr>
                    <w:rFonts w:ascii="Times New Roman" w:hAnsi="Times New Roman" w:cs="Times New Roman"/>
                    <w:b/>
                    <w:bCs/>
                    <w:sz w:val="24"/>
                    <w:szCs w:val="24"/>
                    <w:rtl/>
                  </w:rPr>
                </w:pPr>
                <w:proofErr w:type="spellStart"/>
                <w:r>
                  <w:rPr>
                    <w:rFonts w:ascii="Times New Roman" w:hAnsi="Times New Roman" w:cs="Times New Roman"/>
                    <w:sz w:val="24"/>
                    <w:szCs w:val="24"/>
                  </w:rPr>
                  <w:t>I</w:t>
                </w:r>
                <w:r w:rsidR="007A5A88" w:rsidRPr="003122A3">
                  <w:rPr>
                    <w:rFonts w:ascii="Times New Roman" w:hAnsi="Times New Roman" w:cs="Times New Roman"/>
                    <w:sz w:val="24"/>
                    <w:szCs w:val="24"/>
                  </w:rPr>
                  <w:t>naya</w:t>
                </w:r>
                <w:proofErr w:type="spellEnd"/>
                <w:r w:rsidR="007A5A88" w:rsidRPr="003122A3">
                  <w:rPr>
                    <w:rFonts w:ascii="Times New Roman" w:hAnsi="Times New Roman" w:cs="Times New Roman"/>
                    <w:sz w:val="24"/>
                    <w:szCs w:val="24"/>
                  </w:rPr>
                  <w:t xml:space="preserve"> Zeidan</w:t>
                </w:r>
              </w:p>
            </w:tc>
          </w:tr>
          <w:tr w:rsidR="007A5A88" w:rsidRPr="003122A3" w:rsidTr="007A5A88">
            <w:trPr>
              <w:trHeight w:hRule="exact" w:val="173"/>
              <w:jc w:val="center"/>
            </w:trPr>
            <w:tc>
              <w:tcPr>
                <w:tcW w:w="3575" w:type="dxa"/>
              </w:tcPr>
              <w:p w:rsidR="007A5A88" w:rsidRPr="003122A3" w:rsidRDefault="007A5A88" w:rsidP="00DB689D">
                <w:pPr>
                  <w:jc w:val="both"/>
                  <w:rPr>
                    <w:rFonts w:ascii="Times New Roman" w:hAnsi="Times New Roman" w:cs="Times New Roman"/>
                    <w:b/>
                    <w:bCs/>
                    <w:sz w:val="24"/>
                    <w:szCs w:val="24"/>
                    <w:rtl/>
                  </w:rPr>
                </w:pPr>
              </w:p>
            </w:tc>
            <w:tc>
              <w:tcPr>
                <w:tcW w:w="5111" w:type="dxa"/>
              </w:tcPr>
              <w:p w:rsidR="007A5A88" w:rsidRPr="003122A3" w:rsidRDefault="007A5A88" w:rsidP="00DB689D">
                <w:pPr>
                  <w:jc w:val="both"/>
                  <w:rPr>
                    <w:rFonts w:ascii="Times New Roman" w:hAnsi="Times New Roman" w:cs="Times New Roman"/>
                    <w:b/>
                    <w:bCs/>
                    <w:sz w:val="24"/>
                    <w:szCs w:val="24"/>
                    <w:rtl/>
                  </w:rPr>
                </w:pPr>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b/>
                    <w:bCs/>
                    <w:sz w:val="24"/>
                    <w:szCs w:val="24"/>
                    <w:rtl/>
                  </w:rPr>
                </w:pPr>
              </w:p>
            </w:tc>
            <w:tc>
              <w:tcPr>
                <w:tcW w:w="5111" w:type="dxa"/>
              </w:tcPr>
              <w:p w:rsidR="007A5A88" w:rsidRPr="003122A3" w:rsidRDefault="007A5A88" w:rsidP="00DB689D">
                <w:pPr>
                  <w:jc w:val="both"/>
                  <w:rPr>
                    <w:rFonts w:ascii="Times New Roman" w:hAnsi="Times New Roman" w:cs="Times New Roman"/>
                    <w:b/>
                    <w:bCs/>
                    <w:sz w:val="24"/>
                    <w:szCs w:val="24"/>
                    <w:rtl/>
                  </w:rPr>
                </w:pPr>
                <w:proofErr w:type="spellStart"/>
                <w:r w:rsidRPr="003122A3">
                  <w:rPr>
                    <w:rFonts w:ascii="Times New Roman" w:hAnsi="Times New Roman" w:cs="Times New Roman"/>
                    <w:b/>
                    <w:bCs/>
                    <w:sz w:val="24"/>
                    <w:szCs w:val="24"/>
                  </w:rPr>
                  <w:t>Genearl</w:t>
                </w:r>
                <w:proofErr w:type="spellEnd"/>
                <w:r w:rsidRPr="003122A3">
                  <w:rPr>
                    <w:rFonts w:ascii="Times New Roman" w:hAnsi="Times New Roman" w:cs="Times New Roman"/>
                    <w:b/>
                    <w:bCs/>
                    <w:sz w:val="24"/>
                    <w:szCs w:val="24"/>
                  </w:rPr>
                  <w:t xml:space="preserve"> Supervision</w:t>
                </w:r>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sz w:val="24"/>
                    <w:szCs w:val="24"/>
                    <w:rtl/>
                  </w:rPr>
                </w:pPr>
                <w:r w:rsidRPr="003122A3">
                  <w:rPr>
                    <w:rFonts w:ascii="Times New Roman" w:hAnsi="Times New Roman" w:cs="Times New Roman"/>
                    <w:sz w:val="24"/>
                    <w:szCs w:val="24"/>
                  </w:rPr>
                  <w:t>President of PCBS</w:t>
                </w:r>
              </w:p>
            </w:tc>
            <w:tc>
              <w:tcPr>
                <w:tcW w:w="5111" w:type="dxa"/>
              </w:tcPr>
              <w:p w:rsidR="007A5A88" w:rsidRPr="003122A3" w:rsidRDefault="007A5A88" w:rsidP="00DB689D">
                <w:pPr>
                  <w:jc w:val="both"/>
                  <w:rPr>
                    <w:rFonts w:ascii="Times New Roman" w:hAnsi="Times New Roman" w:cs="Times New Roman"/>
                    <w:sz w:val="24"/>
                    <w:szCs w:val="24"/>
                    <w:rtl/>
                  </w:rPr>
                </w:pPr>
                <w:r w:rsidRPr="003122A3">
                  <w:rPr>
                    <w:rFonts w:ascii="Times New Roman" w:hAnsi="Times New Roman" w:cs="Times New Roman"/>
                    <w:sz w:val="24"/>
                    <w:szCs w:val="24"/>
                  </w:rPr>
                  <w:t xml:space="preserve">Ola </w:t>
                </w:r>
                <w:proofErr w:type="spellStart"/>
                <w:r w:rsidRPr="003122A3">
                  <w:rPr>
                    <w:rFonts w:ascii="Times New Roman" w:hAnsi="Times New Roman" w:cs="Times New Roman"/>
                    <w:sz w:val="24"/>
                    <w:szCs w:val="24"/>
                  </w:rPr>
                  <w:t>Awad</w:t>
                </w:r>
                <w:proofErr w:type="spellEnd"/>
              </w:p>
            </w:tc>
          </w:tr>
          <w:tr w:rsidR="007A5A88" w:rsidRPr="003122A3" w:rsidTr="007A5A88">
            <w:trPr>
              <w:jc w:val="center"/>
            </w:trPr>
            <w:tc>
              <w:tcPr>
                <w:tcW w:w="3575" w:type="dxa"/>
              </w:tcPr>
              <w:p w:rsidR="007A5A88" w:rsidRPr="003122A3" w:rsidRDefault="007A5A88" w:rsidP="00DB689D">
                <w:pPr>
                  <w:jc w:val="both"/>
                  <w:rPr>
                    <w:rFonts w:ascii="Times New Roman" w:hAnsi="Times New Roman" w:cs="Times New Roman"/>
                    <w:b/>
                    <w:bCs/>
                    <w:color w:val="FF0000"/>
                    <w:sz w:val="24"/>
                    <w:szCs w:val="24"/>
                    <w:rtl/>
                  </w:rPr>
                </w:pPr>
              </w:p>
            </w:tc>
            <w:tc>
              <w:tcPr>
                <w:tcW w:w="5111" w:type="dxa"/>
              </w:tcPr>
              <w:p w:rsidR="007A5A88" w:rsidRPr="003122A3" w:rsidRDefault="007A5A88" w:rsidP="00DB689D">
                <w:pPr>
                  <w:jc w:val="both"/>
                  <w:rPr>
                    <w:rFonts w:ascii="Times New Roman" w:hAnsi="Times New Roman" w:cs="Times New Roman"/>
                    <w:b/>
                    <w:bCs/>
                    <w:color w:val="FF0000"/>
                    <w:sz w:val="24"/>
                    <w:szCs w:val="24"/>
                    <w:rtl/>
                  </w:rPr>
                </w:pPr>
              </w:p>
            </w:tc>
          </w:tr>
        </w:tbl>
        <w:p w:rsidR="00570C86" w:rsidRPr="003122A3" w:rsidRDefault="00570C86" w:rsidP="008E657F">
          <w:pPr>
            <w:jc w:val="both"/>
            <w:rPr>
              <w:rFonts w:ascii="Times New Roman" w:hAnsi="Times New Roman" w:cs="Times New Roman"/>
              <w:b/>
              <w:bCs/>
              <w:color w:val="FF0000"/>
              <w:sz w:val="28"/>
              <w:szCs w:val="28"/>
              <w:rtl/>
            </w:rPr>
          </w:pPr>
          <w:r w:rsidRPr="003122A3">
            <w:rPr>
              <w:rFonts w:ascii="Times New Roman" w:hAnsi="Times New Roman" w:cs="Times New Roman"/>
              <w:b/>
              <w:bCs/>
              <w:color w:val="FF0000"/>
              <w:sz w:val="28"/>
              <w:szCs w:val="28"/>
              <w:rtl/>
            </w:rPr>
            <w:br w:type="page"/>
          </w:r>
        </w:p>
        <w:p w:rsidR="004F21E2" w:rsidRPr="003122A3" w:rsidRDefault="00600FC9" w:rsidP="007C77BE">
          <w:pPr>
            <w:jc w:val="center"/>
            <w:rPr>
              <w:rFonts w:ascii="Times New Roman" w:hAnsi="Times New Roman" w:cs="Times New Roman"/>
              <w:b/>
              <w:bCs/>
              <w:sz w:val="28"/>
              <w:szCs w:val="28"/>
              <w:rtl/>
            </w:rPr>
          </w:pPr>
          <w:r w:rsidRPr="003122A3">
            <w:rPr>
              <w:rFonts w:ascii="Times New Roman" w:hAnsi="Times New Roman" w:cs="Times New Roman"/>
              <w:b/>
              <w:bCs/>
              <w:sz w:val="28"/>
              <w:szCs w:val="28"/>
            </w:rPr>
            <w:t>Preamble</w:t>
          </w:r>
        </w:p>
        <w:p w:rsidR="00600FC9" w:rsidRDefault="00600FC9" w:rsidP="00424983">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Children compose nearly half of the Palestinian population. Investment in this social group is important in order to guarantee children’s rights and provide them with the opportunity to live in dignity and safety. </w:t>
          </w:r>
          <w:r w:rsidR="009971AD" w:rsidRPr="003122A3">
            <w:rPr>
              <w:rFonts w:ascii="Times New Roman" w:hAnsi="Times New Roman" w:cs="Times New Roman"/>
              <w:sz w:val="24"/>
              <w:szCs w:val="24"/>
            </w:rPr>
            <w:t xml:space="preserve"> </w:t>
          </w:r>
          <w:r w:rsidRPr="003122A3">
            <w:rPr>
              <w:rFonts w:ascii="Times New Roman" w:hAnsi="Times New Roman" w:cs="Times New Roman"/>
              <w:sz w:val="24"/>
              <w:szCs w:val="24"/>
            </w:rPr>
            <w:t xml:space="preserve">Accurate statistics on this sector allow policy makers to develop plans that translate figures into programs that address the needs of Palestinian children in various areas of their lives. </w:t>
          </w:r>
          <w:r w:rsidR="009971AD" w:rsidRPr="003122A3">
            <w:rPr>
              <w:rFonts w:ascii="Times New Roman" w:hAnsi="Times New Roman" w:cs="Times New Roman"/>
              <w:sz w:val="24"/>
              <w:szCs w:val="24"/>
            </w:rPr>
            <w:t xml:space="preserve"> </w:t>
          </w:r>
          <w:r w:rsidRPr="003122A3">
            <w:rPr>
              <w:rFonts w:ascii="Times New Roman" w:hAnsi="Times New Roman" w:cs="Times New Roman"/>
              <w:sz w:val="24"/>
              <w:szCs w:val="24"/>
            </w:rPr>
            <w:t>The Palestinian Central Bureau of Statistics (PCBS), in cooperation and partnership with relevant ministries and institutions working with children, and with financial support and technical assistance from Save the Children, issues this national report on the status of the rights of Palestinian children</w:t>
          </w:r>
          <w:r w:rsidRPr="003122A3">
            <w:rPr>
              <w:rFonts w:ascii="Times New Roman" w:hAnsi="Times New Roman" w:cs="Times New Roman"/>
              <w:sz w:val="24"/>
              <w:szCs w:val="24"/>
              <w:rtl/>
            </w:rPr>
            <w:t>.</w:t>
          </w:r>
        </w:p>
        <w:p w:rsidR="00424983" w:rsidRPr="003122A3" w:rsidRDefault="00424983" w:rsidP="00424983">
          <w:pPr>
            <w:spacing w:after="0" w:line="240" w:lineRule="auto"/>
            <w:jc w:val="both"/>
            <w:rPr>
              <w:rFonts w:ascii="Times New Roman" w:hAnsi="Times New Roman" w:cs="Times New Roman"/>
              <w:sz w:val="24"/>
              <w:szCs w:val="24"/>
            </w:rPr>
          </w:pPr>
        </w:p>
        <w:p w:rsidR="00600FC9" w:rsidRDefault="00600FC9" w:rsidP="00424983">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publication of this report, which complements the 2013 report, is consistent with PCBS’s policy of providing data within an integrated national statistical system that serves all sectors, including indicators related to the rights of Palestinian children. PCBS also aims to enable progress for indicators to be monitored by publishing data annually in order to maintain a current database for comprehensive national monitoring which can inform the development of policies and plans that address the wellbeing of Palestinian children</w:t>
          </w:r>
          <w:r w:rsidRPr="003122A3">
            <w:rPr>
              <w:rFonts w:ascii="Times New Roman" w:hAnsi="Times New Roman" w:cs="Times New Roman"/>
              <w:sz w:val="24"/>
              <w:szCs w:val="24"/>
              <w:rtl/>
            </w:rPr>
            <w:t>.</w:t>
          </w:r>
        </w:p>
        <w:p w:rsidR="00424983" w:rsidRPr="003122A3" w:rsidRDefault="00424983" w:rsidP="00424983">
          <w:pPr>
            <w:spacing w:after="0" w:line="240" w:lineRule="auto"/>
            <w:jc w:val="both"/>
            <w:rPr>
              <w:rFonts w:ascii="Times New Roman" w:hAnsi="Times New Roman" w:cs="Times New Roman"/>
              <w:sz w:val="24"/>
              <w:szCs w:val="24"/>
            </w:rPr>
          </w:pPr>
        </w:p>
        <w:p w:rsidR="00600FC9" w:rsidRDefault="00600FC9" w:rsidP="00424983">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report presents an analysis and diagnosis of the status of the rights of Palestinian children, highlighting disadvantaged groups and the lack of access to basic services, namely education, health, security, culture and entertainment, as well as issues related to children under military occupation and early childhood development.  Data for this report was derived from two main sources: household surveys carried out by PCBS and data from relevant ministries and institutions, including the Ministries of Health, Education, Social Affairs, Interior, Culture and the Higher Council for Youth and Sports</w:t>
          </w:r>
          <w:r w:rsidR="00424983">
            <w:rPr>
              <w:rFonts w:ascii="Times New Roman" w:hAnsi="Times New Roman" w:cs="Times New Roman"/>
              <w:sz w:val="24"/>
              <w:szCs w:val="24"/>
            </w:rPr>
            <w:t>.</w:t>
          </w:r>
        </w:p>
        <w:p w:rsidR="00424983" w:rsidRPr="003122A3" w:rsidRDefault="00424983" w:rsidP="00424983">
          <w:pPr>
            <w:spacing w:after="0" w:line="240" w:lineRule="auto"/>
            <w:jc w:val="both"/>
            <w:rPr>
              <w:rFonts w:ascii="Times New Roman" w:hAnsi="Times New Roman" w:cs="Times New Roman"/>
              <w:sz w:val="24"/>
              <w:szCs w:val="24"/>
            </w:rPr>
          </w:pPr>
        </w:p>
        <w:p w:rsidR="00E5472B" w:rsidRPr="003122A3" w:rsidRDefault="00600FC9" w:rsidP="00424983">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We at PCBS hope that this report will be a starting point for effective mobilization and for the consolidation of efforts for the promotion of the rights of Palestinian children and for addressing the needs particularly of vulnerable and marginalized children. Investment is needed in the areas identified in this report in order to close the gaps in services for children and the lack of access by marginalized groups in the future. We hope that the annual publication of this report will provide a consistent record over time of the status of children which can inform reports by the State of Palestine to the United Nations on the status of children in Palestine</w:t>
          </w:r>
          <w:r w:rsidR="007C77BE" w:rsidRPr="003122A3">
            <w:rPr>
              <w:rFonts w:ascii="Times New Roman" w:hAnsi="Times New Roman" w:cs="Times New Roman"/>
              <w:sz w:val="24"/>
              <w:szCs w:val="24"/>
            </w:rPr>
            <w:t>.</w:t>
          </w:r>
        </w:p>
        <w:p w:rsidR="007C77BE" w:rsidRDefault="007C77BE" w:rsidP="008E657F">
          <w:pPr>
            <w:jc w:val="both"/>
            <w:rPr>
              <w:rFonts w:ascii="Times New Roman" w:hAnsi="Times New Roman" w:cs="Times New Roman"/>
              <w:sz w:val="24"/>
              <w:szCs w:val="24"/>
            </w:rPr>
          </w:pPr>
        </w:p>
        <w:tbl>
          <w:tblPr>
            <w:tblW w:w="0" w:type="auto"/>
            <w:tblInd w:w="108" w:type="dxa"/>
            <w:tblBorders>
              <w:insideH w:val="single" w:sz="4" w:space="0" w:color="auto"/>
            </w:tblBorders>
            <w:tblLook w:val="0000"/>
          </w:tblPr>
          <w:tblGrid>
            <w:gridCol w:w="4906"/>
            <w:gridCol w:w="4273"/>
          </w:tblGrid>
          <w:tr w:rsidR="008F0161" w:rsidRPr="00D2590B" w:rsidTr="00A91E3A">
            <w:tc>
              <w:tcPr>
                <w:tcW w:w="4906" w:type="dxa"/>
              </w:tcPr>
              <w:p w:rsidR="008F0161" w:rsidRPr="008F0161" w:rsidRDefault="008F0161" w:rsidP="008F0161">
                <w:pPr>
                  <w:rPr>
                    <w:rFonts w:ascii="Times New Roman" w:hAnsi="Times New Roman" w:cs="Times New Roman"/>
                    <w:b/>
                    <w:bCs/>
                    <w:sz w:val="24"/>
                    <w:szCs w:val="24"/>
                    <w:rtl/>
                  </w:rPr>
                </w:pPr>
                <w:r w:rsidRPr="008F0161">
                  <w:rPr>
                    <w:rFonts w:ascii="Times New Roman" w:hAnsi="Times New Roman" w:cs="Times New Roman"/>
                    <w:b/>
                    <w:bCs/>
                    <w:sz w:val="24"/>
                    <w:szCs w:val="24"/>
                  </w:rPr>
                  <w:t>A</w:t>
                </w:r>
                <w:r>
                  <w:rPr>
                    <w:rFonts w:ascii="Times New Roman" w:hAnsi="Times New Roman" w:cs="Times New Roman"/>
                    <w:b/>
                    <w:bCs/>
                    <w:sz w:val="24"/>
                    <w:szCs w:val="24"/>
                  </w:rPr>
                  <w:t>pril</w:t>
                </w:r>
                <w:r w:rsidRPr="008F0161">
                  <w:rPr>
                    <w:rFonts w:ascii="Times New Roman" w:hAnsi="Times New Roman" w:cs="Times New Roman"/>
                    <w:b/>
                    <w:bCs/>
                    <w:sz w:val="24"/>
                    <w:szCs w:val="24"/>
                  </w:rPr>
                  <w:t xml:space="preserve">, </w:t>
                </w:r>
                <w:r w:rsidRPr="008F0161">
                  <w:rPr>
                    <w:rFonts w:ascii="Times New Roman" w:hAnsi="Times New Roman" w:cs="Times New Roman" w:hint="cs"/>
                    <w:b/>
                    <w:bCs/>
                    <w:sz w:val="24"/>
                    <w:szCs w:val="24"/>
                    <w:rtl/>
                  </w:rPr>
                  <w:t>201</w:t>
                </w:r>
                <w:r>
                  <w:rPr>
                    <w:rFonts w:ascii="Times New Roman" w:hAnsi="Times New Roman" w:cs="Times New Roman"/>
                    <w:b/>
                    <w:bCs/>
                    <w:sz w:val="24"/>
                    <w:szCs w:val="24"/>
                  </w:rPr>
                  <w:t>5</w:t>
                </w:r>
              </w:p>
            </w:tc>
            <w:tc>
              <w:tcPr>
                <w:tcW w:w="4273" w:type="dxa"/>
              </w:tcPr>
              <w:p w:rsidR="008F0161" w:rsidRPr="008F0161" w:rsidRDefault="008F0161" w:rsidP="008F0161">
                <w:pPr>
                  <w:jc w:val="center"/>
                  <w:rPr>
                    <w:rFonts w:ascii="Times New Roman" w:hAnsi="Times New Roman" w:cs="Times New Roman"/>
                    <w:b/>
                    <w:bCs/>
                    <w:sz w:val="24"/>
                    <w:szCs w:val="24"/>
                  </w:rPr>
                </w:pPr>
                <w:r w:rsidRPr="008F0161">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8F0161">
                  <w:rPr>
                    <w:rFonts w:ascii="Times New Roman" w:hAnsi="Times New Roman" w:cs="Times New Roman"/>
                    <w:b/>
                    <w:bCs/>
                    <w:sz w:val="24"/>
                    <w:szCs w:val="24"/>
                  </w:rPr>
                  <w:t xml:space="preserve">Ola </w:t>
                </w:r>
                <w:proofErr w:type="spellStart"/>
                <w:r w:rsidRPr="008F0161">
                  <w:rPr>
                    <w:rFonts w:ascii="Times New Roman" w:hAnsi="Times New Roman" w:cs="Times New Roman"/>
                    <w:b/>
                    <w:bCs/>
                    <w:sz w:val="24"/>
                    <w:szCs w:val="24"/>
                  </w:rPr>
                  <w:t>Awad</w:t>
                </w:r>
                <w:proofErr w:type="spellEnd"/>
              </w:p>
              <w:p w:rsidR="008F0161" w:rsidRPr="008F0161" w:rsidRDefault="008F0161" w:rsidP="008F0161">
                <w:pPr>
                  <w:jc w:val="right"/>
                  <w:rPr>
                    <w:rFonts w:ascii="Times New Roman" w:hAnsi="Times New Roman" w:cs="Times New Roman"/>
                    <w:b/>
                    <w:bCs/>
                    <w:sz w:val="24"/>
                    <w:szCs w:val="24"/>
                  </w:rPr>
                </w:pPr>
                <w:r w:rsidRPr="008F0161">
                  <w:rPr>
                    <w:rFonts w:ascii="Times New Roman" w:hAnsi="Times New Roman" w:cs="Times New Roman"/>
                    <w:b/>
                    <w:bCs/>
                    <w:sz w:val="24"/>
                    <w:szCs w:val="24"/>
                  </w:rPr>
                  <w:t xml:space="preserve">President of PCBS </w:t>
                </w:r>
              </w:p>
            </w:tc>
          </w:tr>
        </w:tbl>
        <w:p w:rsidR="008F0161" w:rsidRPr="003122A3" w:rsidRDefault="008F0161" w:rsidP="008E657F">
          <w:pPr>
            <w:jc w:val="both"/>
            <w:rPr>
              <w:rFonts w:ascii="Times New Roman" w:hAnsi="Times New Roman" w:cs="Times New Roman"/>
              <w:sz w:val="24"/>
              <w:szCs w:val="24"/>
              <w:rtl/>
            </w:rPr>
          </w:pPr>
        </w:p>
        <w:p w:rsidR="00BA1E4B" w:rsidRPr="003122A3" w:rsidRDefault="00BA1E4B" w:rsidP="008E657F">
          <w:pPr>
            <w:jc w:val="both"/>
            <w:rPr>
              <w:rFonts w:ascii="Times New Roman" w:hAnsi="Times New Roman" w:cs="Times New Roman"/>
              <w:sz w:val="24"/>
              <w:szCs w:val="24"/>
              <w:rtl/>
            </w:rPr>
          </w:pPr>
        </w:p>
        <w:p w:rsidR="004F21E2" w:rsidRPr="003122A3" w:rsidRDefault="004F21E2" w:rsidP="008E657F">
          <w:pPr>
            <w:jc w:val="both"/>
            <w:rPr>
              <w:rFonts w:ascii="Times New Roman" w:hAnsi="Times New Roman" w:cs="Times New Roman"/>
              <w:b/>
              <w:bCs/>
              <w:color w:val="FF0000"/>
              <w:sz w:val="28"/>
              <w:szCs w:val="28"/>
              <w:rtl/>
            </w:rPr>
          </w:pPr>
        </w:p>
        <w:p w:rsidR="00B62747" w:rsidRPr="003122A3" w:rsidRDefault="00B62747"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4F21E2" w:rsidRPr="003122A3" w:rsidRDefault="004F21E2" w:rsidP="008E657F">
          <w:pPr>
            <w:jc w:val="both"/>
            <w:rPr>
              <w:rFonts w:ascii="Times New Roman" w:hAnsi="Times New Roman" w:cs="Times New Roman"/>
              <w:b/>
              <w:bCs/>
              <w:color w:val="FF0000"/>
              <w:sz w:val="28"/>
              <w:szCs w:val="28"/>
              <w:rtl/>
            </w:rPr>
          </w:pPr>
        </w:p>
        <w:p w:rsidR="00570C86" w:rsidRPr="003122A3" w:rsidRDefault="00570C86" w:rsidP="008E657F">
          <w:pPr>
            <w:jc w:val="both"/>
            <w:rPr>
              <w:rFonts w:ascii="Times New Roman" w:hAnsi="Times New Roman" w:cs="Times New Roman"/>
              <w:b/>
              <w:bCs/>
              <w:color w:val="FF0000"/>
              <w:rtl/>
            </w:rPr>
          </w:pPr>
          <w:r w:rsidRPr="003122A3">
            <w:rPr>
              <w:rFonts w:ascii="Times New Roman" w:hAnsi="Times New Roman" w:cs="Times New Roman"/>
              <w:b/>
              <w:bCs/>
              <w:color w:val="FF0000"/>
              <w:rtl/>
            </w:rPr>
            <w:br w:type="page"/>
          </w:r>
        </w:p>
        <w:p w:rsidR="00424983" w:rsidRDefault="00600FC9" w:rsidP="00424983">
          <w:pPr>
            <w:spacing w:after="0" w:line="240" w:lineRule="auto"/>
            <w:jc w:val="center"/>
            <w:rPr>
              <w:rFonts w:ascii="Times New Roman" w:hAnsi="Times New Roman" w:cs="Times New Roman"/>
              <w:b/>
              <w:bCs/>
              <w:sz w:val="28"/>
              <w:szCs w:val="28"/>
            </w:rPr>
          </w:pPr>
          <w:r w:rsidRPr="003122A3">
            <w:rPr>
              <w:rFonts w:ascii="Times New Roman" w:hAnsi="Times New Roman" w:cs="Times New Roman"/>
              <w:b/>
              <w:bCs/>
              <w:sz w:val="28"/>
              <w:szCs w:val="28"/>
            </w:rPr>
            <w:t>Palestine in Figures</w:t>
          </w:r>
        </w:p>
        <w:p w:rsidR="00424983" w:rsidRPr="00424983" w:rsidRDefault="00600FC9" w:rsidP="00424983">
          <w:pPr>
            <w:spacing w:after="0" w:line="240" w:lineRule="auto"/>
            <w:jc w:val="center"/>
            <w:rPr>
              <w:rFonts w:ascii="Times New Roman" w:hAnsi="Times New Roman" w:cs="Times New Roman"/>
              <w:b/>
              <w:bCs/>
              <w:color w:val="FF0000"/>
              <w:sz w:val="28"/>
              <w:szCs w:val="28"/>
              <w:rtl/>
            </w:rPr>
          </w:pPr>
          <w:r w:rsidRPr="003122A3">
            <w:rPr>
              <w:rFonts w:ascii="Times New Roman" w:hAnsi="Times New Roman" w:cs="Times New Roman"/>
              <w:b/>
              <w:bCs/>
              <w:sz w:val="28"/>
              <w:szCs w:val="28"/>
            </w:rPr>
            <w:t xml:space="preserve"> </w:t>
          </w:r>
        </w:p>
        <w:tbl>
          <w:tblPr>
            <w:tblStyle w:val="PlainTable2"/>
            <w:tblW w:w="9286" w:type="dxa"/>
            <w:jc w:val="center"/>
            <w:tblLook w:val="04A0"/>
          </w:tblPr>
          <w:tblGrid>
            <w:gridCol w:w="6366"/>
            <w:gridCol w:w="1539"/>
            <w:gridCol w:w="1381"/>
          </w:tblGrid>
          <w:tr w:rsidR="00600FC9" w:rsidRPr="003122A3" w:rsidTr="00F0163E">
            <w:trPr>
              <w:cnfStyle w:val="100000000000"/>
              <w:trHeight w:val="340"/>
              <w:jc w:val="center"/>
            </w:trPr>
            <w:tc>
              <w:tcPr>
                <w:cnfStyle w:val="001000000000"/>
                <w:tcW w:w="6366" w:type="dxa"/>
                <w:shd w:val="clear" w:color="auto" w:fill="EAF1DD" w:themeFill="accent3" w:themeFillTint="33"/>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Estimated population*</w:t>
                </w:r>
              </w:p>
            </w:tc>
            <w:tc>
              <w:tcPr>
                <w:tcW w:w="1539" w:type="dxa"/>
                <w:shd w:val="clear" w:color="auto" w:fill="EAF1DD" w:themeFill="accent3" w:themeFillTint="33"/>
                <w:vAlign w:val="center"/>
              </w:tcPr>
              <w:p w:rsidR="00600FC9" w:rsidRPr="00F0163E" w:rsidRDefault="00600FC9" w:rsidP="00F0163E">
                <w:pPr>
                  <w:cnfStyle w:val="100000000000"/>
                  <w:rPr>
                    <w:rFonts w:ascii="Arial" w:hAnsi="Arial" w:cs="Arial"/>
                    <w:b w:val="0"/>
                    <w:bCs w:val="0"/>
                    <w:sz w:val="18"/>
                    <w:szCs w:val="18"/>
                  </w:rPr>
                </w:pPr>
                <w:r w:rsidRPr="00F0163E">
                  <w:rPr>
                    <w:rFonts w:ascii="Arial" w:hAnsi="Arial" w:cs="Arial"/>
                    <w:sz w:val="18"/>
                    <w:szCs w:val="18"/>
                  </w:rPr>
                  <w:t>4,682,467</w:t>
                </w:r>
              </w:p>
            </w:tc>
            <w:tc>
              <w:tcPr>
                <w:tcW w:w="1381" w:type="dxa"/>
                <w:shd w:val="clear" w:color="auto" w:fill="EAF1DD" w:themeFill="accent3" w:themeFillTint="33"/>
                <w:vAlign w:val="center"/>
              </w:tcPr>
              <w:p w:rsidR="00600FC9" w:rsidRPr="00F0163E" w:rsidRDefault="00600FC9" w:rsidP="00F0163E">
                <w:pPr>
                  <w:cnfStyle w:val="100000000000"/>
                  <w:rPr>
                    <w:rFonts w:ascii="Arial" w:hAnsi="Arial" w:cs="Arial"/>
                    <w:b w:val="0"/>
                    <w:bCs w:val="0"/>
                    <w:sz w:val="18"/>
                    <w:szCs w:val="18"/>
                  </w:rPr>
                </w:pPr>
                <w:r w:rsidRPr="00F0163E">
                  <w:rPr>
                    <w:rFonts w:ascii="Arial" w:hAnsi="Arial" w:cs="Arial"/>
                    <w:sz w:val="18"/>
                    <w:szCs w:val="18"/>
                  </w:rPr>
                  <w:t>Mid-2015</w:t>
                </w:r>
              </w:p>
            </w:tc>
          </w:tr>
          <w:tr w:rsidR="00600FC9" w:rsidRPr="003122A3" w:rsidTr="00F0163E">
            <w:trPr>
              <w:cnfStyle w:val="000000100000"/>
              <w:trHeight w:val="340"/>
              <w:jc w:val="center"/>
            </w:trPr>
            <w:tc>
              <w:tcPr>
                <w:cnfStyle w:val="001000000000"/>
                <w:tcW w:w="6366" w:type="dxa"/>
                <w:shd w:val="clear" w:color="auto" w:fill="EAF1DD" w:themeFill="accent3" w:themeFillTint="33"/>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EAF1DD" w:themeFill="accent3" w:themeFillTint="33"/>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2,862,485</w:t>
                </w:r>
              </w:p>
            </w:tc>
            <w:tc>
              <w:tcPr>
                <w:tcW w:w="1381" w:type="dxa"/>
                <w:shd w:val="clear" w:color="auto" w:fill="EAF1DD" w:themeFill="accent3" w:themeFillTint="33"/>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Mid-2015</w:t>
                </w:r>
              </w:p>
            </w:tc>
          </w:tr>
          <w:tr w:rsidR="00600FC9" w:rsidRPr="003122A3" w:rsidTr="00F0163E">
            <w:trPr>
              <w:trHeight w:val="340"/>
              <w:jc w:val="center"/>
            </w:trPr>
            <w:tc>
              <w:tcPr>
                <w:cnfStyle w:val="001000000000"/>
                <w:tcW w:w="6366" w:type="dxa"/>
                <w:shd w:val="clear" w:color="auto" w:fill="EAF1DD" w:themeFill="accent3" w:themeFillTint="33"/>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tc>
            <w:tc>
              <w:tcPr>
                <w:tcW w:w="1539" w:type="dxa"/>
                <w:shd w:val="clear" w:color="auto" w:fill="EAF1DD" w:themeFill="accent3"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1,819,982</w:t>
                </w:r>
              </w:p>
            </w:tc>
            <w:tc>
              <w:tcPr>
                <w:tcW w:w="1381" w:type="dxa"/>
                <w:shd w:val="clear" w:color="auto" w:fill="EAF1DD" w:themeFill="accent3"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Mid-2015</w:t>
                </w:r>
              </w:p>
            </w:tc>
          </w:tr>
          <w:tr w:rsidR="00600FC9" w:rsidRPr="003122A3" w:rsidTr="00F0163E">
            <w:trPr>
              <w:cnfStyle w:val="000000100000"/>
              <w:trHeight w:val="340"/>
              <w:jc w:val="center"/>
            </w:trPr>
            <w:tc>
              <w:tcPr>
                <w:cnfStyle w:val="001000000000"/>
                <w:tcW w:w="6366" w:type="dxa"/>
                <w:shd w:val="clear" w:color="auto" w:fill="EAF1DD" w:themeFill="accent3" w:themeFillTint="33"/>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Estimated Demographic Growth*</w:t>
                </w:r>
              </w:p>
            </w:tc>
            <w:tc>
              <w:tcPr>
                <w:tcW w:w="1539" w:type="dxa"/>
                <w:shd w:val="clear" w:color="auto" w:fill="EAF1DD" w:themeFill="accent3" w:themeFillTint="33"/>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2.90</w:t>
                </w:r>
              </w:p>
            </w:tc>
            <w:tc>
              <w:tcPr>
                <w:tcW w:w="1381" w:type="dxa"/>
                <w:shd w:val="clear" w:color="auto" w:fill="EAF1DD" w:themeFill="accent3" w:themeFillTint="33"/>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Mid 2014</w:t>
                </w:r>
              </w:p>
            </w:tc>
          </w:tr>
          <w:tr w:rsidR="00600FC9" w:rsidRPr="003122A3" w:rsidTr="00F0163E">
            <w:trPr>
              <w:trHeight w:val="340"/>
              <w:jc w:val="center"/>
            </w:trPr>
            <w:tc>
              <w:tcPr>
                <w:cnfStyle w:val="001000000000"/>
                <w:tcW w:w="6366" w:type="dxa"/>
                <w:shd w:val="clear" w:color="auto" w:fill="EAF1DD" w:themeFill="accent3" w:themeFillTint="33"/>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EAF1DD" w:themeFill="accent3"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2.59</w:t>
                </w:r>
              </w:p>
            </w:tc>
            <w:tc>
              <w:tcPr>
                <w:tcW w:w="1381" w:type="dxa"/>
                <w:shd w:val="clear" w:color="auto" w:fill="EAF1DD" w:themeFill="accent3"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Mid 2014</w:t>
                </w:r>
              </w:p>
            </w:tc>
          </w:tr>
          <w:tr w:rsidR="00600FC9" w:rsidRPr="003122A3" w:rsidTr="00F0163E">
            <w:trPr>
              <w:cnfStyle w:val="000000100000"/>
              <w:trHeight w:val="340"/>
              <w:jc w:val="center"/>
            </w:trPr>
            <w:tc>
              <w:tcPr>
                <w:cnfStyle w:val="001000000000"/>
                <w:tcW w:w="6366" w:type="dxa"/>
                <w:shd w:val="clear" w:color="auto" w:fill="EAF1DD" w:themeFill="accent3" w:themeFillTint="33"/>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tc>
            <w:tc>
              <w:tcPr>
                <w:tcW w:w="1539" w:type="dxa"/>
                <w:shd w:val="clear" w:color="auto" w:fill="EAF1DD" w:themeFill="accent3" w:themeFillTint="33"/>
                <w:vAlign w:val="center"/>
              </w:tcPr>
              <w:p w:rsidR="00600FC9" w:rsidRPr="00F0163E" w:rsidRDefault="00861F46" w:rsidP="00F0163E">
                <w:pPr>
                  <w:cnfStyle w:val="000000100000"/>
                  <w:rPr>
                    <w:rFonts w:ascii="Arial" w:hAnsi="Arial" w:cs="Arial"/>
                    <w:sz w:val="18"/>
                    <w:szCs w:val="18"/>
                  </w:rPr>
                </w:pPr>
                <w:r w:rsidRPr="00F0163E">
                  <w:rPr>
                    <w:rFonts w:ascii="Arial" w:hAnsi="Arial" w:cs="Arial"/>
                    <w:sz w:val="18"/>
                    <w:szCs w:val="18"/>
                  </w:rPr>
                  <w:t>3</w:t>
                </w:r>
                <w:r w:rsidR="00600FC9" w:rsidRPr="00F0163E">
                  <w:rPr>
                    <w:rFonts w:ascii="Arial" w:hAnsi="Arial" w:cs="Arial"/>
                    <w:sz w:val="18"/>
                    <w:szCs w:val="18"/>
                  </w:rPr>
                  <w:t>.</w:t>
                </w:r>
                <w:r w:rsidRPr="00F0163E">
                  <w:rPr>
                    <w:rFonts w:ascii="Arial" w:hAnsi="Arial" w:cs="Arial"/>
                    <w:sz w:val="18"/>
                    <w:szCs w:val="18"/>
                  </w:rPr>
                  <w:t>41</w:t>
                </w:r>
              </w:p>
            </w:tc>
            <w:tc>
              <w:tcPr>
                <w:tcW w:w="1381" w:type="dxa"/>
                <w:shd w:val="clear" w:color="auto" w:fill="EAF1DD" w:themeFill="accent3" w:themeFillTint="33"/>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Mid 2014</w:t>
                </w:r>
              </w:p>
            </w:tc>
          </w:tr>
          <w:tr w:rsidR="00600FC9" w:rsidRPr="003122A3" w:rsidTr="00F0163E">
            <w:trPr>
              <w:trHeight w:val="340"/>
              <w:jc w:val="center"/>
            </w:trPr>
            <w:tc>
              <w:tcPr>
                <w:cnfStyle w:val="001000000000"/>
                <w:tcW w:w="6366" w:type="dxa"/>
                <w:shd w:val="clear" w:color="auto" w:fill="EAF1DD" w:themeFill="accent3" w:themeFillTint="33"/>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Population under 18 years of age</w:t>
                </w:r>
              </w:p>
            </w:tc>
            <w:tc>
              <w:tcPr>
                <w:tcW w:w="1539" w:type="dxa"/>
                <w:shd w:val="clear" w:color="auto" w:fill="EAF1DD" w:themeFill="accent3" w:themeFillTint="33"/>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46.2%</w:t>
                </w:r>
              </w:p>
            </w:tc>
            <w:tc>
              <w:tcPr>
                <w:tcW w:w="1381" w:type="dxa"/>
                <w:shd w:val="clear" w:color="auto" w:fill="EAF1DD" w:themeFill="accent3" w:themeFillTint="33"/>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Mid-2014</w:t>
                </w:r>
              </w:p>
            </w:tc>
          </w:tr>
          <w:tr w:rsidR="00600FC9" w:rsidRPr="003122A3" w:rsidTr="00F0163E">
            <w:trPr>
              <w:cnfStyle w:val="000000100000"/>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Number of Palestinian households*</w:t>
                </w:r>
              </w:p>
            </w:tc>
            <w:tc>
              <w:tcPr>
                <w:tcW w:w="1539" w:type="dxa"/>
                <w:shd w:val="clear" w:color="auto" w:fill="F2F2F2" w:themeFill="background1" w:themeFillShade="F2"/>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845,000</w:t>
                </w:r>
              </w:p>
            </w:tc>
            <w:tc>
              <w:tcPr>
                <w:tcW w:w="1381" w:type="dxa"/>
                <w:shd w:val="clear" w:color="auto" w:fill="F2F2F2" w:themeFill="background1" w:themeFillShade="F2"/>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Mid 2013</w:t>
                </w:r>
              </w:p>
            </w:tc>
          </w:tr>
          <w:tr w:rsidR="00600FC9" w:rsidRPr="003122A3" w:rsidTr="00F0163E">
            <w:trPr>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F2F2F2" w:themeFill="background1" w:themeFillShade="F2"/>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554,000</w:t>
                </w:r>
              </w:p>
            </w:tc>
            <w:tc>
              <w:tcPr>
                <w:tcW w:w="1381" w:type="dxa"/>
                <w:shd w:val="clear" w:color="auto" w:fill="F2F2F2" w:themeFill="background1" w:themeFillShade="F2"/>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Mid 2013</w:t>
                </w:r>
              </w:p>
            </w:tc>
          </w:tr>
          <w:tr w:rsidR="00600FC9" w:rsidRPr="003122A3" w:rsidTr="00F0163E">
            <w:trPr>
              <w:cnfStyle w:val="000000100000"/>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tc>
            <w:tc>
              <w:tcPr>
                <w:tcW w:w="1539" w:type="dxa"/>
                <w:shd w:val="clear" w:color="auto" w:fill="F2F2F2" w:themeFill="background1" w:themeFillShade="F2"/>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291,000</w:t>
                </w:r>
              </w:p>
            </w:tc>
            <w:tc>
              <w:tcPr>
                <w:tcW w:w="1381" w:type="dxa"/>
                <w:shd w:val="clear" w:color="auto" w:fill="F2F2F2" w:themeFill="background1" w:themeFillShade="F2"/>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Mid 2013</w:t>
                </w:r>
              </w:p>
            </w:tc>
          </w:tr>
          <w:tr w:rsidR="00600FC9" w:rsidRPr="003122A3" w:rsidTr="00F0163E">
            <w:trPr>
              <w:trHeight w:val="340"/>
              <w:jc w:val="center"/>
            </w:trPr>
            <w:tc>
              <w:tcPr>
                <w:cnfStyle w:val="001000000000"/>
                <w:tcW w:w="6366" w:type="dxa"/>
                <w:shd w:val="clear" w:color="auto" w:fill="DAEEF3" w:themeFill="accent5" w:themeFillTint="33"/>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Average size of household **</w:t>
                </w:r>
              </w:p>
            </w:tc>
            <w:tc>
              <w:tcPr>
                <w:tcW w:w="1539" w:type="dxa"/>
                <w:shd w:val="clear" w:color="auto" w:fill="DAEEF3" w:themeFill="accent5" w:themeFillTint="33"/>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5.3</w:t>
                </w:r>
              </w:p>
            </w:tc>
            <w:tc>
              <w:tcPr>
                <w:tcW w:w="1381" w:type="dxa"/>
                <w:shd w:val="clear" w:color="auto" w:fill="DAEEF3" w:themeFill="accent5" w:themeFillTint="33"/>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2014</w:t>
                </w:r>
              </w:p>
            </w:tc>
          </w:tr>
          <w:tr w:rsidR="00600FC9" w:rsidRPr="003122A3" w:rsidTr="00F0163E">
            <w:trPr>
              <w:cnfStyle w:val="000000100000"/>
              <w:trHeight w:val="340"/>
              <w:jc w:val="center"/>
            </w:trPr>
            <w:tc>
              <w:tcPr>
                <w:cnfStyle w:val="001000000000"/>
                <w:tcW w:w="6366" w:type="dxa"/>
                <w:shd w:val="clear" w:color="auto" w:fill="DAEEF3" w:themeFill="accent5" w:themeFillTint="33"/>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DAEEF3" w:themeFill="accent5" w:themeFillTint="33"/>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5.0</w:t>
                </w:r>
              </w:p>
            </w:tc>
            <w:tc>
              <w:tcPr>
                <w:tcW w:w="1381" w:type="dxa"/>
                <w:shd w:val="clear" w:color="auto" w:fill="DAEEF3" w:themeFill="accent5" w:themeFillTint="33"/>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2014</w:t>
                </w:r>
              </w:p>
            </w:tc>
          </w:tr>
          <w:tr w:rsidR="00600FC9" w:rsidRPr="003122A3" w:rsidTr="00F0163E">
            <w:trPr>
              <w:trHeight w:val="340"/>
              <w:jc w:val="center"/>
            </w:trPr>
            <w:tc>
              <w:tcPr>
                <w:cnfStyle w:val="001000000000"/>
                <w:tcW w:w="6366" w:type="dxa"/>
                <w:shd w:val="clear" w:color="auto" w:fill="DAEEF3" w:themeFill="accent5" w:themeFillTint="33"/>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tc>
            <w:tc>
              <w:tcPr>
                <w:tcW w:w="1539" w:type="dxa"/>
                <w:shd w:val="clear" w:color="auto" w:fill="DAEEF3" w:themeFill="accent5"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5.9</w:t>
                </w:r>
              </w:p>
            </w:tc>
            <w:tc>
              <w:tcPr>
                <w:tcW w:w="1381" w:type="dxa"/>
                <w:shd w:val="clear" w:color="auto" w:fill="DAEEF3" w:themeFill="accent5"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2014</w:t>
                </w:r>
              </w:p>
            </w:tc>
          </w:tr>
          <w:tr w:rsidR="00600FC9" w:rsidRPr="003122A3" w:rsidTr="00F0163E">
            <w:trPr>
              <w:cnfStyle w:val="000000100000"/>
              <w:trHeight w:val="340"/>
              <w:jc w:val="center"/>
            </w:trPr>
            <w:tc>
              <w:tcPr>
                <w:cnfStyle w:val="001000000000"/>
                <w:tcW w:w="6366" w:type="dxa"/>
                <w:shd w:val="clear" w:color="auto" w:fill="DAEEF3" w:themeFill="accent5" w:themeFillTint="33"/>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Percentage of households headed by a female</w:t>
                </w:r>
              </w:p>
            </w:tc>
            <w:tc>
              <w:tcPr>
                <w:tcW w:w="1539" w:type="dxa"/>
                <w:shd w:val="clear" w:color="auto" w:fill="DAEEF3" w:themeFill="accent5" w:themeFillTint="33"/>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10.6%</w:t>
                </w:r>
              </w:p>
            </w:tc>
            <w:tc>
              <w:tcPr>
                <w:tcW w:w="1381" w:type="dxa"/>
                <w:shd w:val="clear" w:color="auto" w:fill="DAEEF3" w:themeFill="accent5" w:themeFillTint="33"/>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2014</w:t>
                </w:r>
              </w:p>
            </w:tc>
          </w:tr>
          <w:tr w:rsidR="00600FC9" w:rsidRPr="003122A3" w:rsidTr="00F0163E">
            <w:trPr>
              <w:trHeight w:val="340"/>
              <w:jc w:val="center"/>
            </w:trPr>
            <w:tc>
              <w:tcPr>
                <w:cnfStyle w:val="001000000000"/>
                <w:tcW w:w="6366" w:type="dxa"/>
                <w:shd w:val="clear" w:color="auto" w:fill="DAEEF3" w:themeFill="accent5" w:themeFillTint="33"/>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DAEEF3" w:themeFill="accent5"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11.7%</w:t>
                </w:r>
              </w:p>
            </w:tc>
            <w:tc>
              <w:tcPr>
                <w:tcW w:w="1381" w:type="dxa"/>
                <w:shd w:val="clear" w:color="auto" w:fill="DAEEF3" w:themeFill="accent5"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2014</w:t>
                </w:r>
              </w:p>
            </w:tc>
          </w:tr>
          <w:tr w:rsidR="00600FC9" w:rsidRPr="003122A3" w:rsidTr="00F0163E">
            <w:trPr>
              <w:cnfStyle w:val="000000100000"/>
              <w:trHeight w:val="340"/>
              <w:jc w:val="center"/>
            </w:trPr>
            <w:tc>
              <w:tcPr>
                <w:cnfStyle w:val="001000000000"/>
                <w:tcW w:w="6366" w:type="dxa"/>
                <w:shd w:val="clear" w:color="auto" w:fill="DAEEF3" w:themeFill="accent5" w:themeFillTint="33"/>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tc>
            <w:tc>
              <w:tcPr>
                <w:tcW w:w="1539" w:type="dxa"/>
                <w:shd w:val="clear" w:color="auto" w:fill="DAEEF3" w:themeFill="accent5" w:themeFillTint="33"/>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8.4%</w:t>
                </w:r>
              </w:p>
            </w:tc>
            <w:tc>
              <w:tcPr>
                <w:tcW w:w="1381" w:type="dxa"/>
                <w:shd w:val="clear" w:color="auto" w:fill="DAEEF3" w:themeFill="accent5" w:themeFillTint="33"/>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2014</w:t>
                </w:r>
              </w:p>
            </w:tc>
          </w:tr>
          <w:tr w:rsidR="00600FC9" w:rsidRPr="003122A3" w:rsidTr="00F0163E">
            <w:trPr>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Illiteracy rate among males aged 15 years and over**</w:t>
                </w:r>
              </w:p>
            </w:tc>
            <w:tc>
              <w:tcPr>
                <w:tcW w:w="1539" w:type="dxa"/>
                <w:shd w:val="clear" w:color="auto" w:fill="F2F2F2" w:themeFill="background1" w:themeFillShade="F2"/>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1.6%</w:t>
                </w:r>
              </w:p>
            </w:tc>
            <w:tc>
              <w:tcPr>
                <w:tcW w:w="1381" w:type="dxa"/>
                <w:shd w:val="clear" w:color="auto" w:fill="F2F2F2" w:themeFill="background1" w:themeFillShade="F2"/>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2014</w:t>
                </w:r>
              </w:p>
            </w:tc>
          </w:tr>
          <w:tr w:rsidR="00600FC9" w:rsidRPr="003122A3" w:rsidTr="00F0163E">
            <w:trPr>
              <w:cnfStyle w:val="000000100000"/>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Illiteracy rate among females aged 15 years and over**</w:t>
                </w:r>
              </w:p>
            </w:tc>
            <w:tc>
              <w:tcPr>
                <w:tcW w:w="1539" w:type="dxa"/>
                <w:shd w:val="clear" w:color="auto" w:fill="F2F2F2" w:themeFill="background1" w:themeFillShade="F2"/>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5.6%</w:t>
                </w:r>
              </w:p>
            </w:tc>
            <w:tc>
              <w:tcPr>
                <w:tcW w:w="1381" w:type="dxa"/>
                <w:shd w:val="clear" w:color="auto" w:fill="F2F2F2" w:themeFill="background1" w:themeFillShade="F2"/>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2014</w:t>
                </w:r>
              </w:p>
            </w:tc>
          </w:tr>
          <w:tr w:rsidR="00600FC9" w:rsidRPr="003122A3" w:rsidTr="00F0163E">
            <w:trPr>
              <w:trHeight w:val="340"/>
              <w:jc w:val="center"/>
            </w:trPr>
            <w:tc>
              <w:tcPr>
                <w:cnfStyle w:val="001000000000"/>
                <w:tcW w:w="6366" w:type="dxa"/>
                <w:shd w:val="clear" w:color="auto" w:fill="D9D9D9" w:themeFill="background1" w:themeFillShade="D9"/>
                <w:vAlign w:val="center"/>
              </w:tcPr>
              <w:p w:rsidR="00600FC9" w:rsidRPr="00F0163E" w:rsidRDefault="00600FC9" w:rsidP="00F0163E">
                <w:pPr>
                  <w:tabs>
                    <w:tab w:val="left" w:pos="3750"/>
                  </w:tabs>
                  <w:rPr>
                    <w:rFonts w:ascii="Arial" w:hAnsi="Arial" w:cs="Arial"/>
                    <w:sz w:val="18"/>
                    <w:szCs w:val="18"/>
                  </w:rPr>
                </w:pPr>
                <w:r w:rsidRPr="00F0163E">
                  <w:rPr>
                    <w:rFonts w:ascii="Arial" w:hAnsi="Arial" w:cs="Arial"/>
                    <w:sz w:val="18"/>
                    <w:szCs w:val="18"/>
                  </w:rPr>
                  <w:t>Labor force participation rate**</w:t>
                </w:r>
                <w:r w:rsidR="007C77BE" w:rsidRPr="00F0163E">
                  <w:rPr>
                    <w:rFonts w:ascii="Arial" w:hAnsi="Arial" w:cs="Arial"/>
                    <w:sz w:val="18"/>
                    <w:szCs w:val="18"/>
                  </w:rPr>
                  <w:tab/>
                </w:r>
              </w:p>
            </w:tc>
            <w:tc>
              <w:tcPr>
                <w:tcW w:w="1539" w:type="dxa"/>
                <w:shd w:val="clear" w:color="auto" w:fill="D9D9D9" w:themeFill="background1" w:themeFillShade="D9"/>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45.8%</w:t>
                </w:r>
              </w:p>
            </w:tc>
            <w:tc>
              <w:tcPr>
                <w:tcW w:w="1381" w:type="dxa"/>
                <w:shd w:val="clear" w:color="auto" w:fill="D9D9D9" w:themeFill="background1" w:themeFillShade="D9"/>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2014</w:t>
                </w:r>
              </w:p>
            </w:tc>
          </w:tr>
          <w:tr w:rsidR="00600FC9" w:rsidRPr="003122A3" w:rsidTr="00F0163E">
            <w:trPr>
              <w:cnfStyle w:val="000000100000"/>
              <w:trHeight w:val="340"/>
              <w:jc w:val="center"/>
            </w:trPr>
            <w:tc>
              <w:tcPr>
                <w:cnfStyle w:val="001000000000"/>
                <w:tcW w:w="6366" w:type="dxa"/>
                <w:shd w:val="clear" w:color="auto" w:fill="D9D9D9" w:themeFill="background1" w:themeFillShade="D9"/>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Males</w:t>
                </w:r>
              </w:p>
            </w:tc>
            <w:tc>
              <w:tcPr>
                <w:tcW w:w="1539" w:type="dxa"/>
                <w:shd w:val="clear" w:color="auto" w:fill="D9D9D9" w:themeFill="background1" w:themeFillShade="D9"/>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71.5%</w:t>
                </w:r>
              </w:p>
            </w:tc>
            <w:tc>
              <w:tcPr>
                <w:tcW w:w="1381" w:type="dxa"/>
                <w:shd w:val="clear" w:color="auto" w:fill="D9D9D9" w:themeFill="background1" w:themeFillShade="D9"/>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2014</w:t>
                </w:r>
              </w:p>
            </w:tc>
          </w:tr>
          <w:tr w:rsidR="00600FC9" w:rsidRPr="003122A3" w:rsidTr="00F0163E">
            <w:trPr>
              <w:trHeight w:val="340"/>
              <w:jc w:val="center"/>
            </w:trPr>
            <w:tc>
              <w:tcPr>
                <w:cnfStyle w:val="001000000000"/>
                <w:tcW w:w="6366" w:type="dxa"/>
                <w:shd w:val="clear" w:color="auto" w:fill="D9D9D9" w:themeFill="background1" w:themeFillShade="D9"/>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Females</w:t>
                </w:r>
              </w:p>
            </w:tc>
            <w:tc>
              <w:tcPr>
                <w:tcW w:w="1539" w:type="dxa"/>
                <w:shd w:val="clear" w:color="auto" w:fill="D9D9D9" w:themeFill="background1" w:themeFillShade="D9"/>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19.4%</w:t>
                </w:r>
              </w:p>
            </w:tc>
            <w:tc>
              <w:tcPr>
                <w:tcW w:w="1381" w:type="dxa"/>
                <w:shd w:val="clear" w:color="auto" w:fill="D9D9D9" w:themeFill="background1" w:themeFillShade="D9"/>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2014</w:t>
                </w:r>
              </w:p>
            </w:tc>
          </w:tr>
          <w:tr w:rsidR="00600FC9" w:rsidRPr="003122A3" w:rsidTr="00F0163E">
            <w:trPr>
              <w:cnfStyle w:val="000000100000"/>
              <w:trHeight w:val="340"/>
              <w:jc w:val="center"/>
            </w:trPr>
            <w:tc>
              <w:tcPr>
                <w:cnfStyle w:val="001000000000"/>
                <w:tcW w:w="6366" w:type="dxa"/>
                <w:shd w:val="clear" w:color="auto" w:fill="E5B8B7" w:themeFill="accent2" w:themeFillTint="66"/>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Unemployment rate**</w:t>
                </w:r>
              </w:p>
            </w:tc>
            <w:tc>
              <w:tcPr>
                <w:tcW w:w="1539" w:type="dxa"/>
                <w:shd w:val="clear" w:color="auto" w:fill="E5B8B7" w:themeFill="accent2" w:themeFillTint="66"/>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26.9%</w:t>
                </w:r>
              </w:p>
            </w:tc>
            <w:tc>
              <w:tcPr>
                <w:tcW w:w="1381" w:type="dxa"/>
                <w:shd w:val="clear" w:color="auto" w:fill="E5B8B7" w:themeFill="accent2" w:themeFillTint="66"/>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2014</w:t>
                </w:r>
              </w:p>
            </w:tc>
          </w:tr>
          <w:tr w:rsidR="00600FC9" w:rsidRPr="003122A3" w:rsidTr="00F0163E">
            <w:trPr>
              <w:trHeight w:val="340"/>
              <w:jc w:val="center"/>
            </w:trPr>
            <w:tc>
              <w:tcPr>
                <w:cnfStyle w:val="001000000000"/>
                <w:tcW w:w="6366" w:type="dxa"/>
                <w:shd w:val="clear" w:color="auto" w:fill="E5B8B7" w:themeFill="accent2" w:themeFillTint="66"/>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Males</w:t>
                </w:r>
              </w:p>
            </w:tc>
            <w:tc>
              <w:tcPr>
                <w:tcW w:w="1539" w:type="dxa"/>
                <w:shd w:val="clear" w:color="auto" w:fill="E5B8B7" w:themeFill="accent2" w:themeFillTint="66"/>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23.9%</w:t>
                </w:r>
              </w:p>
            </w:tc>
            <w:tc>
              <w:tcPr>
                <w:tcW w:w="1381" w:type="dxa"/>
                <w:shd w:val="clear" w:color="auto" w:fill="E5B8B7" w:themeFill="accent2" w:themeFillTint="66"/>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2014</w:t>
                </w:r>
              </w:p>
            </w:tc>
          </w:tr>
          <w:tr w:rsidR="00600FC9" w:rsidRPr="003122A3" w:rsidTr="00F0163E">
            <w:trPr>
              <w:cnfStyle w:val="000000100000"/>
              <w:trHeight w:val="340"/>
              <w:jc w:val="center"/>
            </w:trPr>
            <w:tc>
              <w:tcPr>
                <w:cnfStyle w:val="001000000000"/>
                <w:tcW w:w="6366" w:type="dxa"/>
                <w:shd w:val="clear" w:color="auto" w:fill="E5B8B7" w:themeFill="accent2" w:themeFillTint="66"/>
                <w:vAlign w:val="center"/>
              </w:tcPr>
              <w:p w:rsidR="00CF5EC0" w:rsidRPr="00F0163E" w:rsidRDefault="00600FC9" w:rsidP="00F0163E">
                <w:pPr>
                  <w:rPr>
                    <w:rFonts w:ascii="Arial" w:hAnsi="Arial" w:cs="Arial"/>
                    <w:b w:val="0"/>
                    <w:bCs w:val="0"/>
                    <w:sz w:val="18"/>
                    <w:szCs w:val="18"/>
                  </w:rPr>
                </w:pPr>
                <w:r w:rsidRPr="00F0163E">
                  <w:rPr>
                    <w:rFonts w:ascii="Arial" w:hAnsi="Arial" w:cs="Arial"/>
                    <w:b w:val="0"/>
                    <w:bCs w:val="0"/>
                    <w:sz w:val="18"/>
                    <w:szCs w:val="18"/>
                  </w:rPr>
                  <w:t>Females</w:t>
                </w:r>
              </w:p>
            </w:tc>
            <w:tc>
              <w:tcPr>
                <w:tcW w:w="1539" w:type="dxa"/>
                <w:shd w:val="clear" w:color="auto" w:fill="E5B8B7" w:themeFill="accent2" w:themeFillTint="66"/>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38.4%</w:t>
                </w:r>
              </w:p>
            </w:tc>
            <w:tc>
              <w:tcPr>
                <w:tcW w:w="1381" w:type="dxa"/>
                <w:shd w:val="clear" w:color="auto" w:fill="E5B8B7" w:themeFill="accent2" w:themeFillTint="66"/>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2014</w:t>
                </w:r>
              </w:p>
            </w:tc>
          </w:tr>
          <w:tr w:rsidR="00600FC9" w:rsidRPr="003122A3" w:rsidTr="00F0163E">
            <w:trPr>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Total fertility rate**</w:t>
                </w:r>
              </w:p>
            </w:tc>
            <w:tc>
              <w:tcPr>
                <w:tcW w:w="1539" w:type="dxa"/>
                <w:shd w:val="clear" w:color="auto" w:fill="F2F2F2" w:themeFill="background1" w:themeFillShade="F2"/>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4.1</w:t>
                </w:r>
              </w:p>
            </w:tc>
            <w:tc>
              <w:tcPr>
                <w:tcW w:w="1381" w:type="dxa"/>
                <w:shd w:val="clear" w:color="auto" w:fill="F2F2F2" w:themeFill="background1" w:themeFillShade="F2"/>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2011-2013</w:t>
                </w:r>
              </w:p>
            </w:tc>
          </w:tr>
          <w:tr w:rsidR="00600FC9" w:rsidRPr="003122A3" w:rsidTr="00F0163E">
            <w:trPr>
              <w:cnfStyle w:val="000000100000"/>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F2F2F2" w:themeFill="background1" w:themeFillShade="F2"/>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3.7</w:t>
                </w:r>
              </w:p>
            </w:tc>
            <w:tc>
              <w:tcPr>
                <w:tcW w:w="1381" w:type="dxa"/>
                <w:shd w:val="clear" w:color="auto" w:fill="F2F2F2" w:themeFill="background1" w:themeFillShade="F2"/>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2011-2013</w:t>
                </w:r>
              </w:p>
            </w:tc>
          </w:tr>
          <w:tr w:rsidR="00600FC9" w:rsidRPr="003122A3" w:rsidTr="00F0163E">
            <w:trPr>
              <w:trHeight w:val="340"/>
              <w:jc w:val="center"/>
            </w:trPr>
            <w:tc>
              <w:tcPr>
                <w:cnfStyle w:val="001000000000"/>
                <w:tcW w:w="6366" w:type="dxa"/>
                <w:shd w:val="clear" w:color="auto" w:fill="F2F2F2" w:themeFill="background1" w:themeFillShade="F2"/>
                <w:vAlign w:val="center"/>
              </w:tcPr>
              <w:p w:rsidR="00836800" w:rsidRPr="00F0163E"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tc>
            <w:tc>
              <w:tcPr>
                <w:tcW w:w="1539" w:type="dxa"/>
                <w:shd w:val="clear" w:color="auto" w:fill="F2F2F2" w:themeFill="background1" w:themeFillShade="F2"/>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4.5</w:t>
                </w:r>
              </w:p>
            </w:tc>
            <w:tc>
              <w:tcPr>
                <w:tcW w:w="1381" w:type="dxa"/>
                <w:shd w:val="clear" w:color="auto" w:fill="F2F2F2" w:themeFill="background1" w:themeFillShade="F2"/>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2011-2013</w:t>
                </w:r>
              </w:p>
            </w:tc>
          </w:tr>
          <w:tr w:rsidR="00600FC9" w:rsidRPr="003122A3" w:rsidTr="00F0163E">
            <w:trPr>
              <w:cnfStyle w:val="000000100000"/>
              <w:trHeight w:val="340"/>
              <w:jc w:val="center"/>
            </w:trPr>
            <w:tc>
              <w:tcPr>
                <w:cnfStyle w:val="001000000000"/>
                <w:tcW w:w="6366" w:type="dxa"/>
                <w:shd w:val="clear" w:color="auto" w:fill="D6E3BC" w:themeFill="accent3" w:themeFillTint="66"/>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Fertility rate for female teenagers (births per 1000 women)***</w:t>
                </w:r>
              </w:p>
            </w:tc>
            <w:tc>
              <w:tcPr>
                <w:tcW w:w="1539" w:type="dxa"/>
                <w:shd w:val="clear" w:color="auto" w:fill="D6E3BC" w:themeFill="accent3" w:themeFillTint="66"/>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48</w:t>
                </w:r>
              </w:p>
            </w:tc>
            <w:tc>
              <w:tcPr>
                <w:tcW w:w="1381" w:type="dxa"/>
                <w:shd w:val="clear" w:color="auto" w:fill="D6E3BC" w:themeFill="accent3" w:themeFillTint="66"/>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2014</w:t>
                </w:r>
              </w:p>
            </w:tc>
          </w:tr>
          <w:tr w:rsidR="00600FC9" w:rsidRPr="003122A3" w:rsidTr="00F0163E">
            <w:trPr>
              <w:trHeight w:val="340"/>
              <w:jc w:val="center"/>
            </w:trPr>
            <w:tc>
              <w:tcPr>
                <w:cnfStyle w:val="001000000000"/>
                <w:tcW w:w="6366" w:type="dxa"/>
                <w:shd w:val="clear" w:color="auto" w:fill="D6E3BC" w:themeFill="accent3" w:themeFillTint="66"/>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D6E3BC" w:themeFill="accent3" w:themeFillTint="66"/>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35</w:t>
                </w:r>
              </w:p>
            </w:tc>
            <w:tc>
              <w:tcPr>
                <w:tcW w:w="1381" w:type="dxa"/>
                <w:shd w:val="clear" w:color="auto" w:fill="D6E3BC" w:themeFill="accent3" w:themeFillTint="66"/>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2014</w:t>
                </w:r>
              </w:p>
            </w:tc>
          </w:tr>
          <w:tr w:rsidR="00600FC9" w:rsidRPr="003122A3" w:rsidTr="00F0163E">
            <w:trPr>
              <w:cnfStyle w:val="000000100000"/>
              <w:trHeight w:val="340"/>
              <w:jc w:val="center"/>
            </w:trPr>
            <w:tc>
              <w:tcPr>
                <w:cnfStyle w:val="001000000000"/>
                <w:tcW w:w="6366" w:type="dxa"/>
                <w:shd w:val="clear" w:color="auto" w:fill="D6E3BC" w:themeFill="accent3" w:themeFillTint="66"/>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tc>
            <w:tc>
              <w:tcPr>
                <w:tcW w:w="1539" w:type="dxa"/>
                <w:shd w:val="clear" w:color="auto" w:fill="D6E3BC" w:themeFill="accent3" w:themeFillTint="66"/>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66</w:t>
                </w:r>
              </w:p>
            </w:tc>
            <w:tc>
              <w:tcPr>
                <w:tcW w:w="1381" w:type="dxa"/>
                <w:shd w:val="clear" w:color="auto" w:fill="D6E3BC" w:themeFill="accent3" w:themeFillTint="66"/>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2014</w:t>
                </w:r>
              </w:p>
            </w:tc>
          </w:tr>
          <w:tr w:rsidR="00600FC9" w:rsidRPr="003122A3" w:rsidTr="00F0163E">
            <w:trPr>
              <w:trHeight w:val="340"/>
              <w:jc w:val="center"/>
            </w:trPr>
            <w:tc>
              <w:tcPr>
                <w:cnfStyle w:val="001000000000"/>
                <w:tcW w:w="6366" w:type="dxa"/>
                <w:shd w:val="clear" w:color="auto" w:fill="D6E3BC" w:themeFill="accent3" w:themeFillTint="66"/>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Women aging 20-49 years with maiden age below 18 years old ***</w:t>
                </w:r>
              </w:p>
            </w:tc>
            <w:tc>
              <w:tcPr>
                <w:tcW w:w="1539" w:type="dxa"/>
                <w:shd w:val="clear" w:color="auto" w:fill="D6E3BC" w:themeFill="accent3" w:themeFillTint="66"/>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24.2%</w:t>
                </w:r>
              </w:p>
            </w:tc>
            <w:tc>
              <w:tcPr>
                <w:tcW w:w="1381" w:type="dxa"/>
                <w:shd w:val="clear" w:color="auto" w:fill="D6E3BC" w:themeFill="accent3" w:themeFillTint="66"/>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2014</w:t>
                </w:r>
              </w:p>
            </w:tc>
          </w:tr>
          <w:tr w:rsidR="00600FC9" w:rsidRPr="003122A3" w:rsidTr="00F0163E">
            <w:trPr>
              <w:cnfStyle w:val="000000100000"/>
              <w:trHeight w:val="340"/>
              <w:jc w:val="center"/>
            </w:trPr>
            <w:tc>
              <w:tcPr>
                <w:cnfStyle w:val="001000000000"/>
                <w:tcW w:w="6366" w:type="dxa"/>
                <w:shd w:val="clear" w:color="auto" w:fill="D6E3BC" w:themeFill="accent3" w:themeFillTint="66"/>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D6E3BC" w:themeFill="accent3" w:themeFillTint="66"/>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21.4%</w:t>
                </w:r>
              </w:p>
            </w:tc>
            <w:tc>
              <w:tcPr>
                <w:tcW w:w="1381" w:type="dxa"/>
                <w:shd w:val="clear" w:color="auto" w:fill="D6E3BC" w:themeFill="accent3" w:themeFillTint="66"/>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2014</w:t>
                </w:r>
              </w:p>
            </w:tc>
          </w:tr>
          <w:tr w:rsidR="00600FC9" w:rsidRPr="003122A3" w:rsidTr="00F0163E">
            <w:trPr>
              <w:trHeight w:val="340"/>
              <w:jc w:val="center"/>
            </w:trPr>
            <w:tc>
              <w:tcPr>
                <w:cnfStyle w:val="001000000000"/>
                <w:tcW w:w="6366" w:type="dxa"/>
                <w:shd w:val="clear" w:color="auto" w:fill="D6E3BC" w:themeFill="accent3" w:themeFillTint="66"/>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tc>
            <w:tc>
              <w:tcPr>
                <w:tcW w:w="1539" w:type="dxa"/>
                <w:shd w:val="clear" w:color="auto" w:fill="D6E3BC" w:themeFill="accent3" w:themeFillTint="66"/>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28.6%</w:t>
                </w:r>
              </w:p>
            </w:tc>
            <w:tc>
              <w:tcPr>
                <w:tcW w:w="1381" w:type="dxa"/>
                <w:shd w:val="clear" w:color="auto" w:fill="D6E3BC" w:themeFill="accent3" w:themeFillTint="66"/>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2014</w:t>
                </w:r>
              </w:p>
            </w:tc>
          </w:tr>
          <w:tr w:rsidR="00600FC9" w:rsidRPr="003122A3" w:rsidTr="00F0163E">
            <w:trPr>
              <w:cnfStyle w:val="000000100000"/>
              <w:trHeight w:val="340"/>
              <w:jc w:val="center"/>
            </w:trPr>
            <w:tc>
              <w:tcPr>
                <w:cnfStyle w:val="001000000000"/>
                <w:tcW w:w="6366" w:type="dxa"/>
                <w:shd w:val="clear" w:color="auto" w:fill="EAF1DD" w:themeFill="accent3" w:themeFillTint="33"/>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Women aging 15-49 years with a maiden age below 15 years old***</w:t>
                </w:r>
              </w:p>
            </w:tc>
            <w:tc>
              <w:tcPr>
                <w:tcW w:w="1539" w:type="dxa"/>
                <w:shd w:val="clear" w:color="auto" w:fill="EAF1DD" w:themeFill="accent3" w:themeFillTint="33"/>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2.1%</w:t>
                </w:r>
              </w:p>
            </w:tc>
            <w:tc>
              <w:tcPr>
                <w:tcW w:w="1381" w:type="dxa"/>
                <w:shd w:val="clear" w:color="auto" w:fill="EAF1DD" w:themeFill="accent3" w:themeFillTint="33"/>
                <w:vAlign w:val="center"/>
              </w:tcPr>
              <w:p w:rsidR="00600FC9" w:rsidRPr="00F0163E" w:rsidRDefault="00600FC9" w:rsidP="00F0163E">
                <w:pPr>
                  <w:cnfStyle w:val="000000100000"/>
                  <w:rPr>
                    <w:rFonts w:ascii="Arial" w:hAnsi="Arial" w:cs="Arial"/>
                    <w:b/>
                    <w:bCs/>
                    <w:sz w:val="18"/>
                    <w:szCs w:val="18"/>
                  </w:rPr>
                </w:pPr>
                <w:r w:rsidRPr="00F0163E">
                  <w:rPr>
                    <w:rFonts w:ascii="Arial" w:hAnsi="Arial" w:cs="Arial"/>
                    <w:b/>
                    <w:bCs/>
                    <w:sz w:val="18"/>
                    <w:szCs w:val="18"/>
                  </w:rPr>
                  <w:t>2014</w:t>
                </w:r>
              </w:p>
            </w:tc>
          </w:tr>
          <w:tr w:rsidR="00600FC9" w:rsidRPr="003122A3" w:rsidTr="00F0163E">
            <w:trPr>
              <w:trHeight w:val="340"/>
              <w:jc w:val="center"/>
            </w:trPr>
            <w:tc>
              <w:tcPr>
                <w:cnfStyle w:val="001000000000"/>
                <w:tcW w:w="6366" w:type="dxa"/>
                <w:shd w:val="clear" w:color="auto" w:fill="EAF1DD" w:themeFill="accent3" w:themeFillTint="33"/>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EAF1DD" w:themeFill="accent3"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1.8%</w:t>
                </w:r>
              </w:p>
            </w:tc>
            <w:tc>
              <w:tcPr>
                <w:tcW w:w="1381" w:type="dxa"/>
                <w:shd w:val="clear" w:color="auto" w:fill="EAF1DD" w:themeFill="accent3" w:themeFillTint="33"/>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2014</w:t>
                </w:r>
              </w:p>
            </w:tc>
          </w:tr>
          <w:tr w:rsidR="00600FC9" w:rsidRPr="003122A3" w:rsidTr="006D2A56">
            <w:trPr>
              <w:cnfStyle w:val="000000100000"/>
              <w:trHeight w:val="340"/>
              <w:jc w:val="center"/>
            </w:trPr>
            <w:tc>
              <w:tcPr>
                <w:cnfStyle w:val="001000000000"/>
                <w:tcW w:w="6366" w:type="dxa"/>
                <w:shd w:val="clear" w:color="auto" w:fill="EAF1DD" w:themeFill="accent3" w:themeFillTint="33"/>
                <w:vAlign w:val="center"/>
              </w:tcPr>
              <w:p w:rsidR="00600FC9"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p w:rsidR="003E6418" w:rsidRDefault="003E6418" w:rsidP="00F0163E">
                <w:pPr>
                  <w:rPr>
                    <w:rFonts w:ascii="Arial" w:hAnsi="Arial" w:cs="Arial"/>
                    <w:b w:val="0"/>
                    <w:bCs w:val="0"/>
                    <w:sz w:val="18"/>
                    <w:szCs w:val="18"/>
                  </w:rPr>
                </w:pPr>
              </w:p>
              <w:p w:rsidR="003E6418" w:rsidRDefault="003E6418" w:rsidP="00F0163E">
                <w:pPr>
                  <w:rPr>
                    <w:rFonts w:ascii="Arial" w:hAnsi="Arial" w:cs="Arial"/>
                    <w:b w:val="0"/>
                    <w:bCs w:val="0"/>
                    <w:sz w:val="18"/>
                    <w:szCs w:val="18"/>
                  </w:rPr>
                </w:pPr>
              </w:p>
              <w:p w:rsidR="003E6418" w:rsidRPr="00F0163E" w:rsidRDefault="003E6418" w:rsidP="00F0163E">
                <w:pPr>
                  <w:rPr>
                    <w:rFonts w:ascii="Arial" w:hAnsi="Arial" w:cs="Arial"/>
                    <w:b w:val="0"/>
                    <w:bCs w:val="0"/>
                    <w:sz w:val="18"/>
                    <w:szCs w:val="18"/>
                  </w:rPr>
                </w:pPr>
              </w:p>
            </w:tc>
            <w:tc>
              <w:tcPr>
                <w:tcW w:w="1539" w:type="dxa"/>
                <w:shd w:val="clear" w:color="auto" w:fill="EAF1DD" w:themeFill="accent3" w:themeFillTint="33"/>
              </w:tcPr>
              <w:p w:rsidR="00600FC9" w:rsidRPr="00F0163E" w:rsidRDefault="00600FC9" w:rsidP="006D2A56">
                <w:pPr>
                  <w:cnfStyle w:val="000000100000"/>
                  <w:rPr>
                    <w:rFonts w:ascii="Arial" w:hAnsi="Arial" w:cs="Arial"/>
                    <w:sz w:val="18"/>
                    <w:szCs w:val="18"/>
                  </w:rPr>
                </w:pPr>
                <w:r w:rsidRPr="00F0163E">
                  <w:rPr>
                    <w:rFonts w:ascii="Arial" w:hAnsi="Arial" w:cs="Arial"/>
                    <w:sz w:val="18"/>
                    <w:szCs w:val="18"/>
                  </w:rPr>
                  <w:t>2.6%</w:t>
                </w:r>
              </w:p>
            </w:tc>
            <w:tc>
              <w:tcPr>
                <w:tcW w:w="1381" w:type="dxa"/>
                <w:shd w:val="clear" w:color="auto" w:fill="EAF1DD" w:themeFill="accent3" w:themeFillTint="33"/>
              </w:tcPr>
              <w:p w:rsidR="00600FC9" w:rsidRPr="00F0163E" w:rsidRDefault="00600FC9" w:rsidP="006D2A56">
                <w:pPr>
                  <w:cnfStyle w:val="000000100000"/>
                  <w:rPr>
                    <w:rFonts w:ascii="Arial" w:hAnsi="Arial" w:cs="Arial"/>
                    <w:sz w:val="18"/>
                    <w:szCs w:val="18"/>
                  </w:rPr>
                </w:pPr>
                <w:r w:rsidRPr="00F0163E">
                  <w:rPr>
                    <w:rFonts w:ascii="Arial" w:hAnsi="Arial" w:cs="Arial"/>
                    <w:sz w:val="18"/>
                    <w:szCs w:val="18"/>
                  </w:rPr>
                  <w:t>2014</w:t>
                </w:r>
              </w:p>
            </w:tc>
          </w:tr>
          <w:tr w:rsidR="00600FC9" w:rsidRPr="003122A3" w:rsidTr="00F0163E">
            <w:trPr>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sz w:val="18"/>
                    <w:szCs w:val="18"/>
                  </w:rPr>
                </w:pPr>
                <w:r w:rsidRPr="00F0163E">
                  <w:rPr>
                    <w:rFonts w:ascii="Arial" w:hAnsi="Arial" w:cs="Arial"/>
                    <w:sz w:val="18"/>
                    <w:szCs w:val="18"/>
                  </w:rPr>
                  <w:t>Women aging 20-24 years with live births before reaching 18 years ***</w:t>
                </w:r>
              </w:p>
            </w:tc>
            <w:tc>
              <w:tcPr>
                <w:tcW w:w="1539" w:type="dxa"/>
                <w:shd w:val="clear" w:color="auto" w:fill="F2F2F2" w:themeFill="background1" w:themeFillShade="F2"/>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22.0%</w:t>
                </w:r>
              </w:p>
            </w:tc>
            <w:tc>
              <w:tcPr>
                <w:tcW w:w="1381" w:type="dxa"/>
                <w:shd w:val="clear" w:color="auto" w:fill="F2F2F2" w:themeFill="background1" w:themeFillShade="F2"/>
                <w:vAlign w:val="center"/>
              </w:tcPr>
              <w:p w:rsidR="00600FC9" w:rsidRPr="00F0163E" w:rsidRDefault="00600FC9" w:rsidP="00F0163E">
                <w:pPr>
                  <w:cnfStyle w:val="000000000000"/>
                  <w:rPr>
                    <w:rFonts w:ascii="Arial" w:hAnsi="Arial" w:cs="Arial"/>
                    <w:b/>
                    <w:bCs/>
                    <w:sz w:val="18"/>
                    <w:szCs w:val="18"/>
                  </w:rPr>
                </w:pPr>
                <w:r w:rsidRPr="00F0163E">
                  <w:rPr>
                    <w:rFonts w:ascii="Arial" w:hAnsi="Arial" w:cs="Arial"/>
                    <w:b/>
                    <w:bCs/>
                    <w:sz w:val="18"/>
                    <w:szCs w:val="18"/>
                  </w:rPr>
                  <w:t>2014</w:t>
                </w:r>
              </w:p>
            </w:tc>
          </w:tr>
          <w:tr w:rsidR="00600FC9" w:rsidRPr="003122A3" w:rsidTr="00F0163E">
            <w:trPr>
              <w:cnfStyle w:val="000000100000"/>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West Bank</w:t>
                </w:r>
              </w:p>
            </w:tc>
            <w:tc>
              <w:tcPr>
                <w:tcW w:w="1539" w:type="dxa"/>
                <w:shd w:val="clear" w:color="auto" w:fill="F2F2F2" w:themeFill="background1" w:themeFillShade="F2"/>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19.0%</w:t>
                </w:r>
              </w:p>
            </w:tc>
            <w:tc>
              <w:tcPr>
                <w:tcW w:w="1381" w:type="dxa"/>
                <w:shd w:val="clear" w:color="auto" w:fill="F2F2F2" w:themeFill="background1" w:themeFillShade="F2"/>
                <w:vAlign w:val="center"/>
              </w:tcPr>
              <w:p w:rsidR="00600FC9" w:rsidRPr="00F0163E" w:rsidRDefault="00600FC9" w:rsidP="00F0163E">
                <w:pPr>
                  <w:cnfStyle w:val="000000100000"/>
                  <w:rPr>
                    <w:rFonts w:ascii="Arial" w:hAnsi="Arial" w:cs="Arial"/>
                    <w:sz w:val="18"/>
                    <w:szCs w:val="18"/>
                  </w:rPr>
                </w:pPr>
                <w:r w:rsidRPr="00F0163E">
                  <w:rPr>
                    <w:rFonts w:ascii="Arial" w:hAnsi="Arial" w:cs="Arial"/>
                    <w:sz w:val="18"/>
                    <w:szCs w:val="18"/>
                  </w:rPr>
                  <w:t>2014</w:t>
                </w:r>
              </w:p>
            </w:tc>
          </w:tr>
          <w:tr w:rsidR="00600FC9" w:rsidRPr="003122A3" w:rsidTr="00F0163E">
            <w:trPr>
              <w:trHeight w:val="340"/>
              <w:jc w:val="center"/>
            </w:trPr>
            <w:tc>
              <w:tcPr>
                <w:cnfStyle w:val="001000000000"/>
                <w:tcW w:w="6366" w:type="dxa"/>
                <w:shd w:val="clear" w:color="auto" w:fill="F2F2F2" w:themeFill="background1" w:themeFillShade="F2"/>
                <w:vAlign w:val="center"/>
              </w:tcPr>
              <w:p w:rsidR="00600FC9" w:rsidRPr="00F0163E" w:rsidRDefault="00600FC9" w:rsidP="00F0163E">
                <w:pPr>
                  <w:rPr>
                    <w:rFonts w:ascii="Arial" w:hAnsi="Arial" w:cs="Arial"/>
                    <w:b w:val="0"/>
                    <w:bCs w:val="0"/>
                    <w:sz w:val="18"/>
                    <w:szCs w:val="18"/>
                  </w:rPr>
                </w:pPr>
                <w:r w:rsidRPr="00F0163E">
                  <w:rPr>
                    <w:rFonts w:ascii="Arial" w:hAnsi="Arial" w:cs="Arial"/>
                    <w:b w:val="0"/>
                    <w:bCs w:val="0"/>
                    <w:sz w:val="18"/>
                    <w:szCs w:val="18"/>
                  </w:rPr>
                  <w:t>Gaza Strip</w:t>
                </w:r>
              </w:p>
            </w:tc>
            <w:tc>
              <w:tcPr>
                <w:tcW w:w="1539" w:type="dxa"/>
                <w:shd w:val="clear" w:color="auto" w:fill="F2F2F2" w:themeFill="background1" w:themeFillShade="F2"/>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25.1%</w:t>
                </w:r>
              </w:p>
            </w:tc>
            <w:tc>
              <w:tcPr>
                <w:tcW w:w="1381" w:type="dxa"/>
                <w:shd w:val="clear" w:color="auto" w:fill="F2F2F2" w:themeFill="background1" w:themeFillShade="F2"/>
                <w:vAlign w:val="center"/>
              </w:tcPr>
              <w:p w:rsidR="00600FC9" w:rsidRPr="00F0163E" w:rsidRDefault="00600FC9" w:rsidP="00F0163E">
                <w:pPr>
                  <w:cnfStyle w:val="000000000000"/>
                  <w:rPr>
                    <w:rFonts w:ascii="Arial" w:hAnsi="Arial" w:cs="Arial"/>
                    <w:sz w:val="18"/>
                    <w:szCs w:val="18"/>
                  </w:rPr>
                </w:pPr>
                <w:r w:rsidRPr="00F0163E">
                  <w:rPr>
                    <w:rFonts w:ascii="Arial" w:hAnsi="Arial" w:cs="Arial"/>
                    <w:sz w:val="18"/>
                    <w:szCs w:val="18"/>
                  </w:rPr>
                  <w:t>2014</w:t>
                </w:r>
              </w:p>
            </w:tc>
          </w:tr>
        </w:tbl>
        <w:p w:rsidR="00A57DC8" w:rsidRDefault="00A57DC8" w:rsidP="00D663B5">
          <w:pPr>
            <w:spacing w:after="0" w:line="240" w:lineRule="auto"/>
            <w:jc w:val="both"/>
            <w:rPr>
              <w:rFonts w:ascii="Times New Roman" w:hAnsi="Times New Roman" w:cs="Times New Roman"/>
              <w:b/>
              <w:bCs/>
              <w:sz w:val="18"/>
              <w:szCs w:val="18"/>
            </w:rPr>
          </w:pPr>
        </w:p>
        <w:p w:rsidR="00D84369" w:rsidRPr="003122A3" w:rsidRDefault="00CF5EC0" w:rsidP="00D663B5">
          <w:pPr>
            <w:spacing w:after="0" w:line="240" w:lineRule="auto"/>
            <w:jc w:val="both"/>
            <w:rPr>
              <w:rFonts w:ascii="Times New Roman" w:hAnsi="Times New Roman" w:cs="Times New Roman"/>
              <w:sz w:val="18"/>
              <w:szCs w:val="18"/>
            </w:rPr>
          </w:pPr>
          <w:r w:rsidRPr="00CD5755">
            <w:rPr>
              <w:rFonts w:ascii="Times New Roman" w:hAnsi="Times New Roman" w:cs="Times New Roman"/>
              <w:b/>
              <w:bCs/>
              <w:sz w:val="18"/>
              <w:szCs w:val="18"/>
            </w:rPr>
            <w:t>* Palestinian Central Bureau of Statistics, 201</w:t>
          </w:r>
          <w:r w:rsidR="00D663B5">
            <w:rPr>
              <w:rFonts w:ascii="Times New Roman" w:hAnsi="Times New Roman" w:cs="Times New Roman" w:hint="cs"/>
              <w:b/>
              <w:bCs/>
              <w:sz w:val="18"/>
              <w:szCs w:val="18"/>
              <w:rtl/>
            </w:rPr>
            <w:t>5</w:t>
          </w:r>
          <w:r w:rsidRPr="00CD5755">
            <w:rPr>
              <w:rFonts w:ascii="Times New Roman" w:hAnsi="Times New Roman" w:cs="Times New Roman"/>
              <w:b/>
              <w:bCs/>
              <w:sz w:val="18"/>
              <w:szCs w:val="18"/>
            </w:rPr>
            <w:t>.</w:t>
          </w:r>
          <w:r w:rsidRPr="003122A3">
            <w:rPr>
              <w:rFonts w:ascii="Times New Roman" w:hAnsi="Times New Roman" w:cs="Times New Roman"/>
              <w:sz w:val="18"/>
              <w:szCs w:val="18"/>
            </w:rPr>
            <w:t xml:space="preserve"> Population Estimates. Ramallah, Palestine.</w:t>
          </w:r>
        </w:p>
        <w:p w:rsidR="00CF5EC0" w:rsidRPr="003122A3" w:rsidRDefault="00CF5EC0" w:rsidP="00D663B5">
          <w:pPr>
            <w:spacing w:after="0" w:line="240" w:lineRule="auto"/>
            <w:jc w:val="both"/>
            <w:rPr>
              <w:rFonts w:ascii="Times New Roman" w:hAnsi="Times New Roman" w:cs="Times New Roman"/>
              <w:sz w:val="20"/>
              <w:szCs w:val="20"/>
            </w:rPr>
          </w:pPr>
          <w:r w:rsidRPr="00CD5755">
            <w:rPr>
              <w:rFonts w:ascii="Times New Roman" w:hAnsi="Times New Roman" w:cs="Times New Roman"/>
              <w:b/>
              <w:bCs/>
              <w:sz w:val="18"/>
              <w:szCs w:val="18"/>
            </w:rPr>
            <w:t>** Palestinian Central Bureau of Statistics, 201</w:t>
          </w:r>
          <w:r w:rsidR="00D663B5">
            <w:rPr>
              <w:rFonts w:ascii="Times New Roman" w:hAnsi="Times New Roman" w:cs="Times New Roman" w:hint="cs"/>
              <w:b/>
              <w:bCs/>
              <w:sz w:val="18"/>
              <w:szCs w:val="18"/>
              <w:rtl/>
            </w:rPr>
            <w:t>5</w:t>
          </w:r>
          <w:r w:rsidRPr="00CD5755">
            <w:rPr>
              <w:rFonts w:ascii="Times New Roman" w:hAnsi="Times New Roman" w:cs="Times New Roman"/>
              <w:b/>
              <w:bCs/>
              <w:sz w:val="18"/>
              <w:szCs w:val="18"/>
            </w:rPr>
            <w:t>.</w:t>
          </w:r>
          <w:r w:rsidRPr="003122A3">
            <w:rPr>
              <w:rFonts w:ascii="Times New Roman" w:hAnsi="Times New Roman" w:cs="Times New Roman"/>
              <w:sz w:val="18"/>
              <w:szCs w:val="18"/>
            </w:rPr>
            <w:t xml:space="preserve"> Labor force survey 201</w:t>
          </w:r>
          <w:r w:rsidR="00D663B5">
            <w:rPr>
              <w:rFonts w:ascii="Times New Roman" w:hAnsi="Times New Roman" w:cs="Times New Roman" w:hint="cs"/>
              <w:sz w:val="18"/>
              <w:szCs w:val="18"/>
              <w:rtl/>
            </w:rPr>
            <w:t>4</w:t>
          </w:r>
          <w:r w:rsidRPr="003122A3">
            <w:rPr>
              <w:rFonts w:ascii="Times New Roman" w:hAnsi="Times New Roman" w:cs="Times New Roman"/>
              <w:sz w:val="18"/>
              <w:szCs w:val="18"/>
            </w:rPr>
            <w:t>. Ramallah, Palestine</w:t>
          </w:r>
          <w:r w:rsidRPr="003122A3">
            <w:rPr>
              <w:rFonts w:ascii="Times New Roman" w:hAnsi="Times New Roman" w:cs="Times New Roman"/>
              <w:sz w:val="20"/>
              <w:szCs w:val="20"/>
            </w:rPr>
            <w:t>.</w:t>
          </w:r>
        </w:p>
        <w:p w:rsidR="00CF5EC0" w:rsidRPr="003122A3" w:rsidRDefault="00CF5EC0" w:rsidP="005E6A97">
          <w:pPr>
            <w:spacing w:after="0" w:line="240" w:lineRule="auto"/>
            <w:ind w:left="426" w:hanging="426"/>
            <w:jc w:val="both"/>
            <w:rPr>
              <w:rFonts w:ascii="Times New Roman" w:hAnsi="Times New Roman" w:cs="Times New Roman"/>
              <w:sz w:val="20"/>
              <w:szCs w:val="20"/>
            </w:rPr>
          </w:pPr>
          <w:r w:rsidRPr="00CD5755">
            <w:rPr>
              <w:rFonts w:ascii="Times New Roman" w:hAnsi="Times New Roman" w:cs="Times New Roman"/>
              <w:b/>
              <w:bCs/>
              <w:sz w:val="18"/>
              <w:szCs w:val="18"/>
            </w:rPr>
            <w:t>*** Palestinian Central Bureau of Statistics 201</w:t>
          </w:r>
          <w:r w:rsidR="00D663B5">
            <w:rPr>
              <w:rFonts w:ascii="Times New Roman" w:hAnsi="Times New Roman" w:cs="Times New Roman" w:hint="cs"/>
              <w:b/>
              <w:bCs/>
              <w:sz w:val="18"/>
              <w:szCs w:val="18"/>
              <w:rtl/>
            </w:rPr>
            <w:t>5</w:t>
          </w:r>
          <w:r w:rsidRPr="00CD5755">
            <w:rPr>
              <w:rFonts w:ascii="Times New Roman" w:hAnsi="Times New Roman" w:cs="Times New Roman"/>
              <w:b/>
              <w:bCs/>
              <w:sz w:val="18"/>
              <w:szCs w:val="18"/>
            </w:rPr>
            <w:t>.</w:t>
          </w:r>
          <w:r w:rsidRPr="003122A3">
            <w:rPr>
              <w:rFonts w:ascii="Times New Roman" w:hAnsi="Times New Roman" w:cs="Times New Roman"/>
              <w:iCs/>
              <w:sz w:val="18"/>
              <w:szCs w:val="18"/>
            </w:rPr>
            <w:t xml:space="preserve"> </w:t>
          </w:r>
          <w:r w:rsidR="003C0456" w:rsidRPr="003C0456">
            <w:rPr>
              <w:rFonts w:ascii="Times New Roman" w:hAnsi="Times New Roman" w:cs="Times New Roman"/>
              <w:sz w:val="18"/>
              <w:szCs w:val="18"/>
            </w:rPr>
            <w:t>Multi</w:t>
          </w:r>
          <w:r w:rsidR="00B40B1A">
            <w:rPr>
              <w:rFonts w:ascii="Times New Roman" w:hAnsi="Times New Roman" w:cs="Times New Roman"/>
              <w:sz w:val="18"/>
              <w:szCs w:val="18"/>
            </w:rPr>
            <w:t>ple</w:t>
          </w:r>
          <w:r w:rsidR="003C0456" w:rsidRPr="003C0456">
            <w:rPr>
              <w:rFonts w:ascii="Times New Roman" w:hAnsi="Times New Roman" w:cs="Times New Roman"/>
              <w:sz w:val="18"/>
              <w:szCs w:val="18"/>
            </w:rPr>
            <w:t xml:space="preserve"> Indicator Cluster Survey, 2014</w:t>
          </w:r>
          <w:r w:rsidRPr="003C0456">
            <w:rPr>
              <w:rFonts w:ascii="Times New Roman" w:hAnsi="Times New Roman" w:cs="Times New Roman"/>
              <w:sz w:val="18"/>
              <w:szCs w:val="18"/>
            </w:rPr>
            <w:t>.</w:t>
          </w:r>
          <w:r w:rsidRPr="003122A3">
            <w:rPr>
              <w:rFonts w:ascii="Times New Roman" w:hAnsi="Times New Roman" w:cs="Times New Roman"/>
              <w:iCs/>
              <w:sz w:val="18"/>
              <w:szCs w:val="18"/>
            </w:rPr>
            <w:t xml:space="preserve"> </w:t>
          </w:r>
          <w:r w:rsidR="00B40B1A">
            <w:rPr>
              <w:rFonts w:ascii="Times New Roman" w:hAnsi="Times New Roman" w:cs="Times New Roman"/>
              <w:iCs/>
              <w:sz w:val="18"/>
              <w:szCs w:val="18"/>
            </w:rPr>
            <w:t>Key</w:t>
          </w:r>
          <w:r w:rsidR="00DD3BC0">
            <w:rPr>
              <w:rFonts w:ascii="Times New Roman" w:hAnsi="Times New Roman" w:cs="Times New Roman"/>
              <w:iCs/>
              <w:sz w:val="18"/>
              <w:szCs w:val="18"/>
            </w:rPr>
            <w:t xml:space="preserve"> </w:t>
          </w:r>
          <w:r w:rsidR="00B40B1A">
            <w:rPr>
              <w:rFonts w:ascii="Times New Roman" w:hAnsi="Times New Roman" w:cs="Times New Roman"/>
              <w:iCs/>
              <w:sz w:val="18"/>
              <w:szCs w:val="18"/>
            </w:rPr>
            <w:t>findings</w:t>
          </w:r>
          <w:r w:rsidRPr="003122A3">
            <w:rPr>
              <w:rFonts w:ascii="Times New Roman" w:hAnsi="Times New Roman" w:cs="Times New Roman"/>
              <w:iCs/>
              <w:sz w:val="18"/>
              <w:szCs w:val="18"/>
            </w:rPr>
            <w:t xml:space="preserve"> Report.  </w:t>
          </w:r>
          <w:r w:rsidR="005E6A97">
            <w:rPr>
              <w:rFonts w:ascii="Times New Roman" w:hAnsi="Times New Roman" w:cs="Times New Roman"/>
              <w:iCs/>
              <w:sz w:val="18"/>
              <w:szCs w:val="18"/>
            </w:rPr>
            <w:t xml:space="preserve">  </w:t>
          </w:r>
          <w:r w:rsidRPr="003122A3">
            <w:rPr>
              <w:rFonts w:ascii="Times New Roman" w:hAnsi="Times New Roman" w:cs="Times New Roman"/>
              <w:sz w:val="18"/>
              <w:szCs w:val="18"/>
            </w:rPr>
            <w:t>Ramallah-Palestine</w:t>
          </w:r>
        </w:p>
        <w:p w:rsidR="00CF5EC0" w:rsidRPr="003122A3" w:rsidRDefault="00CF5EC0" w:rsidP="008E657F">
          <w:pPr>
            <w:jc w:val="both"/>
            <w:rPr>
              <w:rFonts w:ascii="Times New Roman" w:hAnsi="Times New Roman" w:cs="Times New Roman"/>
              <w:color w:val="FF0000"/>
              <w:sz w:val="24"/>
              <w:szCs w:val="24"/>
              <w:rtl/>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F6729A" w:rsidRPr="003122A3" w:rsidRDefault="00F6729A" w:rsidP="008E657F">
          <w:pPr>
            <w:jc w:val="both"/>
            <w:rPr>
              <w:rFonts w:ascii="Times New Roman" w:hAnsi="Times New Roman" w:cs="Times New Roman"/>
              <w:color w:val="FF0000"/>
              <w:rtl/>
              <w:lang w:eastAsia="ar-SA"/>
            </w:rPr>
          </w:pPr>
        </w:p>
        <w:p w:rsidR="00F6729A" w:rsidRPr="003122A3" w:rsidRDefault="00F6729A" w:rsidP="008E657F">
          <w:pPr>
            <w:jc w:val="both"/>
            <w:rPr>
              <w:rFonts w:ascii="Times New Roman" w:hAnsi="Times New Roman" w:cs="Times New Roman"/>
              <w:color w:val="FF0000"/>
              <w:rtl/>
              <w:lang w:eastAsia="ar-SA"/>
            </w:rPr>
          </w:pPr>
        </w:p>
        <w:p w:rsidR="00F6729A" w:rsidRPr="003122A3" w:rsidRDefault="00F6729A" w:rsidP="008E657F">
          <w:pPr>
            <w:jc w:val="both"/>
            <w:rPr>
              <w:rFonts w:ascii="Times New Roman" w:hAnsi="Times New Roman" w:cs="Times New Roman"/>
              <w:color w:val="FF0000"/>
              <w:rtl/>
              <w:lang w:eastAsia="ar-SA"/>
            </w:rPr>
          </w:pPr>
        </w:p>
        <w:p w:rsidR="00F6729A" w:rsidRPr="003122A3" w:rsidRDefault="00F6729A" w:rsidP="008E657F">
          <w:pPr>
            <w:jc w:val="both"/>
            <w:rPr>
              <w:rFonts w:ascii="Times New Roman" w:hAnsi="Times New Roman" w:cs="Times New Roman"/>
              <w:color w:val="FF0000"/>
              <w:rtl/>
              <w:lang w:eastAsia="ar-SA"/>
            </w:rPr>
          </w:pPr>
        </w:p>
        <w:p w:rsidR="00F6729A" w:rsidRPr="003122A3" w:rsidRDefault="00F6729A" w:rsidP="008E657F">
          <w:pPr>
            <w:jc w:val="both"/>
            <w:rPr>
              <w:rFonts w:ascii="Times New Roman" w:hAnsi="Times New Roman" w:cs="Times New Roman"/>
              <w:color w:val="FF0000"/>
              <w:rtl/>
              <w:lang w:eastAsia="ar-SA"/>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E2277F" w:rsidRPr="003122A3" w:rsidRDefault="00E2277F" w:rsidP="008E657F">
          <w:pPr>
            <w:jc w:val="both"/>
            <w:rPr>
              <w:rFonts w:ascii="Times New Roman" w:hAnsi="Times New Roman" w:cs="Times New Roman"/>
              <w:color w:val="FF0000"/>
              <w:sz w:val="28"/>
              <w:szCs w:val="28"/>
              <w:rtl/>
            </w:rPr>
          </w:pPr>
        </w:p>
        <w:p w:rsidR="00F6729A" w:rsidRPr="003122A3" w:rsidRDefault="00F6729A" w:rsidP="008E657F">
          <w:pPr>
            <w:jc w:val="both"/>
            <w:rPr>
              <w:rFonts w:ascii="Times New Roman" w:hAnsi="Times New Roman" w:cs="Times New Roman"/>
              <w:color w:val="FF0000"/>
              <w:rtl/>
              <w:lang w:eastAsia="ar-SA"/>
            </w:rPr>
          </w:pPr>
        </w:p>
        <w:p w:rsidR="0061761B" w:rsidRPr="003122A3" w:rsidRDefault="0061761B" w:rsidP="008E657F">
          <w:pPr>
            <w:jc w:val="both"/>
            <w:rPr>
              <w:rFonts w:ascii="Times New Roman" w:hAnsi="Times New Roman" w:cs="Times New Roman"/>
              <w:color w:val="FF0000"/>
              <w:sz w:val="28"/>
              <w:szCs w:val="28"/>
              <w:rtl/>
            </w:rPr>
          </w:pPr>
        </w:p>
        <w:p w:rsidR="0061761B" w:rsidRPr="003122A3" w:rsidRDefault="0061761B" w:rsidP="008E657F">
          <w:pPr>
            <w:jc w:val="both"/>
            <w:rPr>
              <w:rFonts w:ascii="Times New Roman" w:eastAsia="SimSun" w:hAnsi="Times New Roman" w:cs="Times New Roman"/>
              <w:color w:val="FF0000"/>
              <w:rtl/>
              <w:lang w:eastAsia="ar-SA"/>
            </w:rPr>
          </w:pPr>
          <w:r w:rsidRPr="003122A3">
            <w:rPr>
              <w:rFonts w:ascii="Times New Roman" w:hAnsi="Times New Roman" w:cs="Times New Roman"/>
              <w:color w:val="FF0000"/>
              <w:rtl/>
            </w:rPr>
            <w:br w:type="page"/>
          </w:r>
        </w:p>
        <w:p w:rsidR="00E2277F" w:rsidRDefault="00600FC9" w:rsidP="00F0163E">
          <w:pPr>
            <w:spacing w:after="0" w:line="240" w:lineRule="auto"/>
            <w:jc w:val="center"/>
            <w:rPr>
              <w:rFonts w:ascii="Times New Roman" w:hAnsi="Times New Roman" w:cs="Times New Roman"/>
              <w:b/>
              <w:bCs/>
              <w:sz w:val="28"/>
              <w:szCs w:val="28"/>
            </w:rPr>
          </w:pPr>
          <w:r w:rsidRPr="003122A3">
            <w:rPr>
              <w:rFonts w:ascii="Times New Roman" w:hAnsi="Times New Roman" w:cs="Times New Roman"/>
              <w:b/>
              <w:bCs/>
              <w:sz w:val="28"/>
              <w:szCs w:val="28"/>
            </w:rPr>
            <w:t>Contents</w:t>
          </w:r>
        </w:p>
        <w:p w:rsidR="00F0163E" w:rsidRPr="003122A3" w:rsidRDefault="00F0163E" w:rsidP="00F0163E">
          <w:pPr>
            <w:spacing w:after="0" w:line="240" w:lineRule="auto"/>
            <w:jc w:val="center"/>
            <w:rPr>
              <w:rFonts w:ascii="Times New Roman" w:hAnsi="Times New Roman" w:cs="Times New Roman"/>
              <w:b/>
              <w:bCs/>
              <w:sz w:val="28"/>
              <w:szCs w:val="28"/>
            </w:rPr>
          </w:pPr>
        </w:p>
        <w:tbl>
          <w:tblPr>
            <w:bidiVisual/>
            <w:tblW w:w="0" w:type="auto"/>
            <w:jc w:val="center"/>
            <w:tblLayout w:type="fixed"/>
            <w:tblLook w:val="0000"/>
          </w:tblPr>
          <w:tblGrid>
            <w:gridCol w:w="1250"/>
            <w:gridCol w:w="6237"/>
            <w:gridCol w:w="1578"/>
          </w:tblGrid>
          <w:tr w:rsidR="00A523EA" w:rsidRPr="003122A3" w:rsidTr="00405BAD">
            <w:trPr>
              <w:trHeight w:val="428"/>
              <w:tblHeader/>
              <w:jc w:val="center"/>
            </w:trPr>
            <w:tc>
              <w:tcPr>
                <w:tcW w:w="1250" w:type="dxa"/>
                <w:tcBorders>
                  <w:top w:val="nil"/>
                  <w:left w:val="nil"/>
                  <w:bottom w:val="nil"/>
                  <w:right w:val="nil"/>
                </w:tcBorders>
                <w:vAlign w:val="bottom"/>
              </w:tcPr>
              <w:p w:rsidR="00A523EA" w:rsidRPr="003122A3" w:rsidRDefault="00DD1CB3" w:rsidP="00A523EA">
                <w:pPr>
                  <w:bidi/>
                  <w:jc w:val="center"/>
                  <w:rPr>
                    <w:rFonts w:ascii="Times New Roman" w:hAnsi="Times New Roman" w:cs="Times New Roman"/>
                    <w:b/>
                    <w:bCs/>
                    <w:rtl/>
                  </w:rPr>
                </w:pPr>
                <w:r>
                  <w:rPr>
                    <w:rFonts w:ascii="Times New Roman" w:hAnsi="Times New Roman" w:cs="Times New Roman"/>
                    <w:b/>
                    <w:bCs/>
                    <w:sz w:val="24"/>
                    <w:szCs w:val="24"/>
                  </w:rPr>
                  <w:t>P</w:t>
                </w:r>
                <w:r w:rsidR="00BA3422" w:rsidRPr="003122A3">
                  <w:rPr>
                    <w:rFonts w:ascii="Times New Roman" w:hAnsi="Times New Roman" w:cs="Times New Roman"/>
                    <w:b/>
                    <w:bCs/>
                    <w:sz w:val="24"/>
                    <w:szCs w:val="24"/>
                  </w:rPr>
                  <w:t>age</w:t>
                </w:r>
              </w:p>
            </w:tc>
            <w:tc>
              <w:tcPr>
                <w:tcW w:w="6237" w:type="dxa"/>
                <w:tcBorders>
                  <w:top w:val="nil"/>
                  <w:left w:val="nil"/>
                  <w:bottom w:val="nil"/>
                  <w:right w:val="nil"/>
                </w:tcBorders>
              </w:tcPr>
              <w:p w:rsidR="00A523EA" w:rsidRPr="003122A3" w:rsidRDefault="00A523EA" w:rsidP="00A523EA">
                <w:pPr>
                  <w:bidi/>
                  <w:jc w:val="center"/>
                  <w:rPr>
                    <w:rFonts w:ascii="Times New Roman" w:hAnsi="Times New Roman" w:cs="Times New Roman"/>
                    <w:b/>
                    <w:bCs/>
                    <w:rtl/>
                  </w:rPr>
                </w:pPr>
              </w:p>
            </w:tc>
            <w:tc>
              <w:tcPr>
                <w:tcW w:w="1578" w:type="dxa"/>
                <w:tcBorders>
                  <w:top w:val="nil"/>
                  <w:left w:val="nil"/>
                  <w:bottom w:val="nil"/>
                  <w:right w:val="nil"/>
                </w:tcBorders>
              </w:tcPr>
              <w:p w:rsidR="00A523EA" w:rsidRPr="003122A3" w:rsidRDefault="00DD1CB3" w:rsidP="00BA3422">
                <w:pPr>
                  <w:bidi/>
                  <w:jc w:val="center"/>
                  <w:rPr>
                    <w:rFonts w:ascii="Times New Roman" w:hAnsi="Times New Roman" w:cs="Times New Roman"/>
                    <w:b/>
                    <w:bCs/>
                    <w:sz w:val="24"/>
                    <w:szCs w:val="24"/>
                    <w:rtl/>
                  </w:rPr>
                </w:pPr>
                <w:r>
                  <w:rPr>
                    <w:rFonts w:ascii="Times New Roman" w:hAnsi="Times New Roman" w:cs="Times New Roman"/>
                    <w:b/>
                    <w:bCs/>
                    <w:sz w:val="24"/>
                    <w:szCs w:val="24"/>
                  </w:rPr>
                  <w:t>S</w:t>
                </w:r>
                <w:r w:rsidR="00BA3422" w:rsidRPr="003122A3">
                  <w:rPr>
                    <w:rFonts w:ascii="Times New Roman" w:hAnsi="Times New Roman" w:cs="Times New Roman"/>
                    <w:b/>
                    <w:bCs/>
                    <w:sz w:val="24"/>
                    <w:szCs w:val="24"/>
                  </w:rPr>
                  <w:t>ubject</w:t>
                </w:r>
              </w:p>
            </w:tc>
          </w:tr>
          <w:tr w:rsidR="00A523EA" w:rsidRPr="003122A3" w:rsidTr="00405BAD">
            <w:trPr>
              <w:trHeight w:hRule="exact" w:val="113"/>
              <w:jc w:val="center"/>
            </w:trPr>
            <w:tc>
              <w:tcPr>
                <w:tcW w:w="1250" w:type="dxa"/>
                <w:tcBorders>
                  <w:top w:val="nil"/>
                  <w:left w:val="nil"/>
                  <w:bottom w:val="nil"/>
                  <w:right w:val="nil"/>
                </w:tcBorders>
                <w:vAlign w:val="center"/>
              </w:tcPr>
              <w:p w:rsidR="00A523EA" w:rsidRPr="003122A3" w:rsidRDefault="00A523EA" w:rsidP="00DD0E03">
                <w:pPr>
                  <w:bidi/>
                  <w:rPr>
                    <w:rFonts w:ascii="Times New Roman" w:hAnsi="Times New Roman" w:cs="Times New Roman"/>
                    <w:rtl/>
                  </w:rPr>
                </w:pPr>
              </w:p>
            </w:tc>
            <w:tc>
              <w:tcPr>
                <w:tcW w:w="6237" w:type="dxa"/>
                <w:tcBorders>
                  <w:top w:val="nil"/>
                  <w:left w:val="nil"/>
                  <w:bottom w:val="nil"/>
                  <w:right w:val="nil"/>
                </w:tcBorders>
              </w:tcPr>
              <w:p w:rsidR="00A523EA" w:rsidRPr="003122A3" w:rsidRDefault="00A523EA" w:rsidP="00DD0E03">
                <w:pPr>
                  <w:pStyle w:val="Heading5"/>
                  <w:keepNext w:val="0"/>
                  <w:jc w:val="lowKashida"/>
                  <w:rPr>
                    <w:sz w:val="24"/>
                    <w:szCs w:val="24"/>
                    <w:rtl/>
                  </w:rPr>
                </w:pPr>
              </w:p>
            </w:tc>
            <w:tc>
              <w:tcPr>
                <w:tcW w:w="1578" w:type="dxa"/>
                <w:tcBorders>
                  <w:top w:val="nil"/>
                  <w:left w:val="nil"/>
                  <w:bottom w:val="nil"/>
                  <w:right w:val="nil"/>
                </w:tcBorders>
                <w:vAlign w:val="center"/>
              </w:tcPr>
              <w:p w:rsidR="00A523EA" w:rsidRPr="003122A3" w:rsidRDefault="00A523EA" w:rsidP="00DD0E03">
                <w:pPr>
                  <w:pStyle w:val="Heading2"/>
                  <w:keepNext w:val="0"/>
                  <w:ind w:firstLine="241"/>
                  <w:rPr>
                    <w:rFonts w:ascii="Times New Roman" w:hAnsi="Times New Roman" w:cs="Times New Roman"/>
                    <w:sz w:val="24"/>
                    <w:szCs w:val="24"/>
                  </w:rPr>
                </w:pPr>
              </w:p>
            </w:tc>
          </w:tr>
          <w:tr w:rsidR="00A523EA" w:rsidRPr="003122A3" w:rsidTr="00405BAD">
            <w:trPr>
              <w:trHeight w:val="284"/>
              <w:jc w:val="center"/>
            </w:trPr>
            <w:tc>
              <w:tcPr>
                <w:tcW w:w="1250" w:type="dxa"/>
                <w:tcBorders>
                  <w:top w:val="nil"/>
                  <w:left w:val="nil"/>
                  <w:bottom w:val="nil"/>
                  <w:right w:val="nil"/>
                </w:tcBorders>
                <w:vAlign w:val="center"/>
              </w:tcPr>
              <w:p w:rsidR="00A523EA" w:rsidRPr="008738CA" w:rsidRDefault="00116C07" w:rsidP="00116C07">
                <w:pPr>
                  <w:bidi/>
                  <w:spacing w:after="0"/>
                  <w:jc w:val="center"/>
                  <w:rPr>
                    <w:rFonts w:ascii="Times New Roman" w:hAnsi="Times New Roman" w:cs="Times New Roman"/>
                    <w:b/>
                    <w:bCs/>
                    <w:rtl/>
                  </w:rPr>
                </w:pPr>
                <w:r w:rsidRPr="008738CA">
                  <w:rPr>
                    <w:rFonts w:ascii="Times New Roman" w:hAnsi="Times New Roman" w:cs="Times New Roman"/>
                    <w:b/>
                    <w:bCs/>
                  </w:rPr>
                  <w:t>21</w:t>
                </w:r>
              </w:p>
            </w:tc>
            <w:tc>
              <w:tcPr>
                <w:tcW w:w="6237" w:type="dxa"/>
                <w:tcBorders>
                  <w:top w:val="nil"/>
                  <w:left w:val="nil"/>
                  <w:bottom w:val="nil"/>
                  <w:right w:val="nil"/>
                </w:tcBorders>
                <w:vAlign w:val="center"/>
              </w:tcPr>
              <w:p w:rsidR="00A523EA" w:rsidRPr="003122A3" w:rsidRDefault="004A7C7D" w:rsidP="00540074">
                <w:pPr>
                  <w:bidi/>
                  <w:spacing w:after="0" w:line="240" w:lineRule="auto"/>
                  <w:jc w:val="right"/>
                  <w:rPr>
                    <w:rFonts w:ascii="Times New Roman" w:hAnsi="Times New Roman" w:cs="Times New Roman"/>
                    <w:b/>
                    <w:bCs/>
                    <w:sz w:val="20"/>
                    <w:szCs w:val="20"/>
                    <w:rtl/>
                  </w:rPr>
                </w:pPr>
                <w:r w:rsidRPr="003122A3">
                  <w:rPr>
                    <w:rFonts w:ascii="Times New Roman" w:hAnsi="Times New Roman" w:cs="Times New Roman"/>
                    <w:b/>
                    <w:bCs/>
                    <w:sz w:val="20"/>
                    <w:szCs w:val="20"/>
                  </w:rPr>
                  <w:t>Introduction</w:t>
                </w:r>
              </w:p>
            </w:tc>
            <w:tc>
              <w:tcPr>
                <w:tcW w:w="1578" w:type="dxa"/>
                <w:tcBorders>
                  <w:top w:val="nil"/>
                  <w:left w:val="nil"/>
                  <w:bottom w:val="nil"/>
                  <w:right w:val="nil"/>
                </w:tcBorders>
              </w:tcPr>
              <w:p w:rsidR="00A523EA" w:rsidRPr="003122A3" w:rsidRDefault="00AF6454"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Chapter One</w:t>
                </w:r>
              </w:p>
            </w:tc>
          </w:tr>
          <w:tr w:rsidR="005A6DC2" w:rsidRPr="003122A3" w:rsidTr="00405BAD">
            <w:trPr>
              <w:trHeight w:val="284"/>
              <w:jc w:val="center"/>
            </w:trPr>
            <w:tc>
              <w:tcPr>
                <w:tcW w:w="1250" w:type="dxa"/>
                <w:tcBorders>
                  <w:top w:val="nil"/>
                  <w:left w:val="nil"/>
                  <w:bottom w:val="nil"/>
                  <w:right w:val="nil"/>
                </w:tcBorders>
                <w:vAlign w:val="center"/>
              </w:tcPr>
              <w:p w:rsidR="005A6DC2" w:rsidRPr="003122A3" w:rsidRDefault="00116C07" w:rsidP="00116C07">
                <w:pPr>
                  <w:bidi/>
                  <w:spacing w:after="0"/>
                  <w:jc w:val="center"/>
                  <w:rPr>
                    <w:rFonts w:ascii="Times New Roman" w:hAnsi="Times New Roman" w:cs="Times New Roman"/>
                    <w:rtl/>
                  </w:rPr>
                </w:pPr>
                <w:r>
                  <w:rPr>
                    <w:rFonts w:ascii="Times New Roman" w:hAnsi="Times New Roman" w:cs="Times New Roman"/>
                  </w:rPr>
                  <w:t>21</w:t>
                </w:r>
              </w:p>
            </w:tc>
            <w:tc>
              <w:tcPr>
                <w:tcW w:w="6237" w:type="dxa"/>
                <w:tcBorders>
                  <w:top w:val="nil"/>
                  <w:left w:val="nil"/>
                  <w:bottom w:val="nil"/>
                  <w:right w:val="nil"/>
                </w:tcBorders>
                <w:vAlign w:val="center"/>
              </w:tcPr>
              <w:p w:rsidR="005A6DC2" w:rsidRPr="005A6DC2" w:rsidRDefault="005A6DC2" w:rsidP="005A6DC2">
                <w:pPr>
                  <w:spacing w:after="0" w:line="240" w:lineRule="auto"/>
                  <w:rPr>
                    <w:rFonts w:ascii="Times New Roman" w:hAnsi="Times New Roman" w:cs="Times New Roman"/>
                    <w:sz w:val="20"/>
                    <w:szCs w:val="20"/>
                    <w:rtl/>
                  </w:rPr>
                </w:pPr>
                <w:r>
                  <w:rPr>
                    <w:rFonts w:ascii="Times New Roman" w:hAnsi="Times New Roman" w:cs="Times New Roman"/>
                    <w:sz w:val="20"/>
                    <w:szCs w:val="20"/>
                  </w:rPr>
                  <w:t xml:space="preserve">1.1 </w:t>
                </w:r>
                <w:r w:rsidRPr="005A6DC2">
                  <w:rPr>
                    <w:rFonts w:ascii="Times New Roman" w:hAnsi="Times New Roman" w:cs="Times New Roman"/>
                    <w:sz w:val="20"/>
                    <w:szCs w:val="20"/>
                  </w:rPr>
                  <w:t>Children's Rights, Needs and Wellbeing</w:t>
                </w:r>
              </w:p>
            </w:tc>
            <w:tc>
              <w:tcPr>
                <w:tcW w:w="1578" w:type="dxa"/>
                <w:tcBorders>
                  <w:top w:val="nil"/>
                  <w:left w:val="nil"/>
                  <w:bottom w:val="nil"/>
                  <w:right w:val="nil"/>
                </w:tcBorders>
              </w:tcPr>
              <w:p w:rsidR="005A6DC2" w:rsidRPr="003122A3" w:rsidRDefault="005A6DC2" w:rsidP="00540074">
                <w:pPr>
                  <w:spacing w:after="0" w:line="240" w:lineRule="auto"/>
                  <w:rPr>
                    <w:rFonts w:ascii="Times New Roman" w:hAnsi="Times New Roman" w:cs="Times New Roman"/>
                    <w:sz w:val="20"/>
                    <w:szCs w:val="20"/>
                  </w:rPr>
                </w:pPr>
              </w:p>
            </w:tc>
          </w:tr>
          <w:tr w:rsidR="00B354FA" w:rsidRPr="003122A3" w:rsidTr="00405BAD">
            <w:trPr>
              <w:trHeight w:val="284"/>
              <w:jc w:val="center"/>
            </w:trPr>
            <w:tc>
              <w:tcPr>
                <w:tcW w:w="1250" w:type="dxa"/>
                <w:tcBorders>
                  <w:top w:val="nil"/>
                  <w:left w:val="nil"/>
                  <w:bottom w:val="nil"/>
                  <w:right w:val="nil"/>
                </w:tcBorders>
                <w:vAlign w:val="center"/>
              </w:tcPr>
              <w:p w:rsidR="00B354FA" w:rsidRPr="003122A3" w:rsidRDefault="00116C07" w:rsidP="00116C07">
                <w:pPr>
                  <w:bidi/>
                  <w:spacing w:after="0"/>
                  <w:jc w:val="center"/>
                  <w:rPr>
                    <w:rFonts w:ascii="Times New Roman" w:hAnsi="Times New Roman" w:cs="Times New Roman"/>
                    <w:rtl/>
                  </w:rPr>
                </w:pPr>
                <w:r>
                  <w:rPr>
                    <w:rFonts w:ascii="Times New Roman" w:hAnsi="Times New Roman" w:cs="Times New Roman"/>
                  </w:rPr>
                  <w:t>23</w:t>
                </w:r>
              </w:p>
            </w:tc>
            <w:tc>
              <w:tcPr>
                <w:tcW w:w="6237" w:type="dxa"/>
                <w:tcBorders>
                  <w:top w:val="nil"/>
                  <w:left w:val="nil"/>
                  <w:bottom w:val="nil"/>
                  <w:right w:val="nil"/>
                </w:tcBorders>
                <w:vAlign w:val="center"/>
              </w:tcPr>
              <w:p w:rsidR="00B354FA" w:rsidRPr="003122A3" w:rsidRDefault="00B354FA"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tl/>
                  </w:rPr>
                  <w:t>1.2</w:t>
                </w:r>
                <w:r w:rsidRPr="003122A3">
                  <w:rPr>
                    <w:rFonts w:ascii="Times New Roman" w:hAnsi="Times New Roman" w:cs="Times New Roman"/>
                    <w:sz w:val="20"/>
                    <w:szCs w:val="20"/>
                  </w:rPr>
                  <w:t xml:space="preserve"> Definition of the Child</w:t>
                </w:r>
              </w:p>
            </w:tc>
            <w:tc>
              <w:tcPr>
                <w:tcW w:w="1578" w:type="dxa"/>
                <w:tcBorders>
                  <w:top w:val="nil"/>
                  <w:left w:val="nil"/>
                  <w:bottom w:val="nil"/>
                  <w:right w:val="nil"/>
                </w:tcBorders>
              </w:tcPr>
              <w:p w:rsidR="00B354FA" w:rsidRPr="003122A3" w:rsidRDefault="00B354FA" w:rsidP="00540074">
                <w:pPr>
                  <w:spacing w:after="0" w:line="240" w:lineRule="auto"/>
                  <w:rPr>
                    <w:rFonts w:ascii="Times New Roman" w:hAnsi="Times New Roman" w:cs="Times New Roman"/>
                    <w:sz w:val="20"/>
                    <w:szCs w:val="20"/>
                  </w:rPr>
                </w:pPr>
              </w:p>
            </w:tc>
          </w:tr>
          <w:tr w:rsidR="00A523EA" w:rsidRPr="003122A3" w:rsidTr="00405BAD">
            <w:trPr>
              <w:trHeight w:val="284"/>
              <w:jc w:val="center"/>
            </w:trPr>
            <w:tc>
              <w:tcPr>
                <w:tcW w:w="1250" w:type="dxa"/>
                <w:tcBorders>
                  <w:top w:val="nil"/>
                  <w:left w:val="nil"/>
                  <w:bottom w:val="nil"/>
                  <w:right w:val="nil"/>
                </w:tcBorders>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24</w:t>
                </w:r>
              </w:p>
            </w:tc>
            <w:tc>
              <w:tcPr>
                <w:tcW w:w="6237" w:type="dxa"/>
                <w:tcBorders>
                  <w:top w:val="nil"/>
                  <w:left w:val="nil"/>
                  <w:bottom w:val="nil"/>
                  <w:right w:val="nil"/>
                </w:tcBorders>
                <w:vAlign w:val="center"/>
              </w:tcPr>
              <w:p w:rsidR="00A523EA" w:rsidRPr="003122A3" w:rsidRDefault="00405BAD"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1.3 Monitoring the Children Rights</w:t>
                </w:r>
              </w:p>
            </w:tc>
            <w:tc>
              <w:tcPr>
                <w:tcW w:w="1578" w:type="dxa"/>
                <w:tcBorders>
                  <w:top w:val="nil"/>
                  <w:left w:val="nil"/>
                  <w:bottom w:val="nil"/>
                  <w:right w:val="nil"/>
                </w:tcBorders>
              </w:tcPr>
              <w:p w:rsidR="00A523EA" w:rsidRPr="003122A3" w:rsidRDefault="00A523EA" w:rsidP="00540074">
                <w:pPr>
                  <w:spacing w:after="0" w:line="240" w:lineRule="auto"/>
                  <w:rPr>
                    <w:rFonts w:ascii="Times New Roman" w:hAnsi="Times New Roman" w:cs="Times New Roman"/>
                    <w:sz w:val="20"/>
                    <w:szCs w:val="20"/>
                  </w:rPr>
                </w:pPr>
              </w:p>
            </w:tc>
          </w:tr>
          <w:tr w:rsidR="00A523EA" w:rsidRPr="003122A3" w:rsidTr="00405BAD">
            <w:trPr>
              <w:trHeight w:val="284"/>
              <w:jc w:val="center"/>
            </w:trPr>
            <w:tc>
              <w:tcPr>
                <w:tcW w:w="1250" w:type="dxa"/>
                <w:tcBorders>
                  <w:top w:val="nil"/>
                  <w:left w:val="nil"/>
                  <w:bottom w:val="nil"/>
                  <w:right w:val="nil"/>
                </w:tcBorders>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26</w:t>
                </w:r>
              </w:p>
            </w:tc>
            <w:tc>
              <w:tcPr>
                <w:tcW w:w="6237" w:type="dxa"/>
                <w:tcBorders>
                  <w:top w:val="nil"/>
                  <w:left w:val="nil"/>
                  <w:bottom w:val="nil"/>
                  <w:right w:val="nil"/>
                </w:tcBorders>
                <w:vAlign w:val="center"/>
              </w:tcPr>
              <w:p w:rsidR="00A523EA" w:rsidRPr="003122A3" w:rsidRDefault="004A7C7D" w:rsidP="00476D77">
                <w:pPr>
                  <w:spacing w:after="0" w:line="240" w:lineRule="auto"/>
                  <w:ind w:left="317" w:hanging="317"/>
                  <w:rPr>
                    <w:rFonts w:ascii="Times New Roman" w:hAnsi="Times New Roman" w:cs="Times New Roman"/>
                    <w:sz w:val="20"/>
                    <w:szCs w:val="20"/>
                    <w:rtl/>
                  </w:rPr>
                </w:pPr>
                <w:r w:rsidRPr="003122A3">
                  <w:rPr>
                    <w:rFonts w:ascii="Times New Roman" w:hAnsi="Times New Roman" w:cs="Times New Roman"/>
                    <w:sz w:val="20"/>
                    <w:szCs w:val="20"/>
                  </w:rPr>
                  <w:t>1.4 Sources of Information and Statistics on Children’s Rights and Information-Related Problems</w:t>
                </w:r>
              </w:p>
            </w:tc>
            <w:tc>
              <w:tcPr>
                <w:tcW w:w="1578" w:type="dxa"/>
                <w:tcBorders>
                  <w:top w:val="nil"/>
                  <w:left w:val="nil"/>
                  <w:bottom w:val="nil"/>
                  <w:right w:val="nil"/>
                </w:tcBorders>
              </w:tcPr>
              <w:p w:rsidR="00A523EA" w:rsidRPr="003122A3" w:rsidRDefault="00A523EA" w:rsidP="00540074">
                <w:pPr>
                  <w:spacing w:after="0" w:line="240" w:lineRule="auto"/>
                  <w:rPr>
                    <w:rFonts w:ascii="Times New Roman" w:hAnsi="Times New Roman" w:cs="Times New Roman"/>
                    <w:sz w:val="20"/>
                    <w:szCs w:val="20"/>
                  </w:rPr>
                </w:pPr>
              </w:p>
            </w:tc>
          </w:tr>
          <w:tr w:rsidR="00A523EA" w:rsidRPr="003122A3" w:rsidTr="00405BAD">
            <w:trPr>
              <w:trHeight w:hRule="exact" w:val="113"/>
              <w:jc w:val="center"/>
            </w:trPr>
            <w:tc>
              <w:tcPr>
                <w:tcW w:w="1250" w:type="dxa"/>
                <w:tcBorders>
                  <w:top w:val="nil"/>
                  <w:left w:val="nil"/>
                </w:tcBorders>
                <w:vAlign w:val="center"/>
              </w:tcPr>
              <w:p w:rsidR="00A523EA" w:rsidRPr="003122A3" w:rsidRDefault="00A523EA" w:rsidP="00116C07">
                <w:pPr>
                  <w:bidi/>
                  <w:spacing w:after="0"/>
                  <w:jc w:val="center"/>
                  <w:rPr>
                    <w:rFonts w:ascii="Times New Roman" w:hAnsi="Times New Roman" w:cs="Times New Roman"/>
                    <w:rtl/>
                  </w:rPr>
                </w:pPr>
              </w:p>
            </w:tc>
            <w:tc>
              <w:tcPr>
                <w:tcW w:w="6237" w:type="dxa"/>
                <w:vAlign w:val="center"/>
              </w:tcPr>
              <w:p w:rsidR="00A523EA" w:rsidRPr="003122A3" w:rsidRDefault="00A523EA" w:rsidP="00540074">
                <w:pPr>
                  <w:bidi/>
                  <w:spacing w:after="0" w:line="240" w:lineRule="auto"/>
                  <w:rPr>
                    <w:rFonts w:ascii="Times New Roman" w:hAnsi="Times New Roman" w:cs="Times New Roman"/>
                    <w:b/>
                    <w:bCs/>
                    <w:sz w:val="20"/>
                    <w:szCs w:val="20"/>
                    <w:rtl/>
                  </w:rPr>
                </w:pP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405BAD">
            <w:trPr>
              <w:trHeight w:val="284"/>
              <w:jc w:val="center"/>
            </w:trPr>
            <w:tc>
              <w:tcPr>
                <w:tcW w:w="1250" w:type="dxa"/>
                <w:vAlign w:val="center"/>
              </w:tcPr>
              <w:p w:rsidR="00A523EA" w:rsidRPr="008738CA" w:rsidRDefault="00116C07" w:rsidP="00116C07">
                <w:pPr>
                  <w:bidi/>
                  <w:spacing w:after="0"/>
                  <w:jc w:val="center"/>
                  <w:rPr>
                    <w:rFonts w:ascii="Times New Roman" w:hAnsi="Times New Roman" w:cs="Times New Roman"/>
                    <w:b/>
                    <w:bCs/>
                    <w:rtl/>
                  </w:rPr>
                </w:pPr>
                <w:r w:rsidRPr="008738CA">
                  <w:rPr>
                    <w:rFonts w:ascii="Times New Roman" w:hAnsi="Times New Roman" w:cs="Times New Roman"/>
                    <w:b/>
                    <w:bCs/>
                  </w:rPr>
                  <w:t>27</w:t>
                </w:r>
              </w:p>
            </w:tc>
            <w:tc>
              <w:tcPr>
                <w:tcW w:w="6237" w:type="dxa"/>
                <w:vAlign w:val="center"/>
              </w:tcPr>
              <w:p w:rsidR="00A523EA" w:rsidRPr="003122A3" w:rsidRDefault="004A7C7D" w:rsidP="00540074">
                <w:pPr>
                  <w:spacing w:after="0" w:line="240" w:lineRule="auto"/>
                  <w:rPr>
                    <w:rFonts w:ascii="Times New Roman" w:hAnsi="Times New Roman" w:cs="Times New Roman"/>
                    <w:b/>
                    <w:bCs/>
                    <w:sz w:val="20"/>
                    <w:szCs w:val="20"/>
                    <w:rtl/>
                  </w:rPr>
                </w:pPr>
                <w:r w:rsidRPr="003122A3">
                  <w:rPr>
                    <w:rFonts w:ascii="Times New Roman" w:hAnsi="Times New Roman" w:cs="Times New Roman"/>
                    <w:b/>
                    <w:bCs/>
                    <w:sz w:val="20"/>
                    <w:szCs w:val="20"/>
                  </w:rPr>
                  <w:t>General Procedures for the Application of the Rights of the Child</w:t>
                </w:r>
              </w:p>
            </w:tc>
            <w:tc>
              <w:tcPr>
                <w:tcW w:w="1578" w:type="dxa"/>
              </w:tcPr>
              <w:p w:rsidR="00A523EA" w:rsidRPr="003122A3" w:rsidRDefault="00AF6454"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Chapter Two</w:t>
                </w:r>
              </w:p>
            </w:tc>
          </w:tr>
          <w:tr w:rsidR="00A523EA" w:rsidRPr="003122A3" w:rsidTr="00405BA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27</w:t>
                </w:r>
              </w:p>
            </w:tc>
            <w:tc>
              <w:tcPr>
                <w:tcW w:w="6237" w:type="dxa"/>
                <w:vAlign w:val="center"/>
              </w:tcPr>
              <w:p w:rsidR="00A523EA" w:rsidRPr="003122A3" w:rsidRDefault="004A7C7D"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2.1 National Plans, Strategies and Evaluation</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405BA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27</w:t>
                </w:r>
              </w:p>
            </w:tc>
            <w:tc>
              <w:tcPr>
                <w:tcW w:w="6237" w:type="dxa"/>
                <w:vAlign w:val="center"/>
              </w:tcPr>
              <w:p w:rsidR="00A523EA" w:rsidRPr="003122A3" w:rsidRDefault="004A7C7D"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2.2 Legal Environment</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4A7C7D" w:rsidRPr="003122A3" w:rsidTr="00405BAD">
            <w:trPr>
              <w:trHeight w:val="284"/>
              <w:jc w:val="center"/>
            </w:trPr>
            <w:tc>
              <w:tcPr>
                <w:tcW w:w="1250" w:type="dxa"/>
                <w:vAlign w:val="center"/>
              </w:tcPr>
              <w:p w:rsidR="004A7C7D" w:rsidRPr="003122A3" w:rsidRDefault="00116C07" w:rsidP="00116C07">
                <w:pPr>
                  <w:bidi/>
                  <w:spacing w:after="0"/>
                  <w:jc w:val="center"/>
                  <w:rPr>
                    <w:rFonts w:ascii="Times New Roman" w:hAnsi="Times New Roman" w:cs="Times New Roman"/>
                    <w:rtl/>
                  </w:rPr>
                </w:pPr>
                <w:r>
                  <w:rPr>
                    <w:rFonts w:ascii="Times New Roman" w:hAnsi="Times New Roman" w:cs="Times New Roman"/>
                  </w:rPr>
                  <w:t>28</w:t>
                </w:r>
              </w:p>
            </w:tc>
            <w:tc>
              <w:tcPr>
                <w:tcW w:w="6237" w:type="dxa"/>
                <w:vAlign w:val="center"/>
              </w:tcPr>
              <w:p w:rsidR="004A7C7D" w:rsidRPr="003122A3" w:rsidRDefault="004A7C7D"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2.3 Accession to International Conventions and Treaties</w:t>
                </w:r>
              </w:p>
            </w:tc>
            <w:tc>
              <w:tcPr>
                <w:tcW w:w="1578" w:type="dxa"/>
              </w:tcPr>
              <w:p w:rsidR="004A7C7D" w:rsidRPr="003122A3" w:rsidRDefault="004A7C7D" w:rsidP="00540074">
                <w:pPr>
                  <w:spacing w:after="0" w:line="240" w:lineRule="auto"/>
                  <w:rPr>
                    <w:rFonts w:ascii="Times New Roman" w:hAnsi="Times New Roman" w:cs="Times New Roman"/>
                    <w:sz w:val="20"/>
                    <w:szCs w:val="20"/>
                    <w:rtl/>
                  </w:rPr>
                </w:pPr>
              </w:p>
            </w:tc>
          </w:tr>
          <w:tr w:rsidR="00A523EA" w:rsidRPr="003122A3" w:rsidTr="00405BAD">
            <w:trPr>
              <w:trHeight w:hRule="exact" w:val="113"/>
              <w:jc w:val="center"/>
            </w:trPr>
            <w:tc>
              <w:tcPr>
                <w:tcW w:w="1250" w:type="dxa"/>
                <w:vAlign w:val="center"/>
              </w:tcPr>
              <w:p w:rsidR="00A523EA" w:rsidRPr="003122A3" w:rsidRDefault="00A523EA" w:rsidP="00116C07">
                <w:pPr>
                  <w:bidi/>
                  <w:spacing w:after="0"/>
                  <w:jc w:val="center"/>
                  <w:rPr>
                    <w:rFonts w:ascii="Times New Roman" w:hAnsi="Times New Roman" w:cs="Times New Roman"/>
                    <w:rtl/>
                  </w:rPr>
                </w:pPr>
              </w:p>
            </w:tc>
            <w:tc>
              <w:tcPr>
                <w:tcW w:w="6237" w:type="dxa"/>
                <w:vAlign w:val="center"/>
              </w:tcPr>
              <w:p w:rsidR="00A523EA" w:rsidRPr="003122A3" w:rsidRDefault="00A523EA" w:rsidP="00540074">
                <w:pPr>
                  <w:bidi/>
                  <w:spacing w:after="0" w:line="240" w:lineRule="auto"/>
                  <w:rPr>
                    <w:rFonts w:ascii="Times New Roman" w:hAnsi="Times New Roman" w:cs="Times New Roman"/>
                    <w:sz w:val="20"/>
                    <w:szCs w:val="20"/>
                    <w:rtl/>
                  </w:rPr>
                </w:pP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405BAD">
            <w:trPr>
              <w:trHeight w:val="284"/>
              <w:jc w:val="center"/>
            </w:trPr>
            <w:tc>
              <w:tcPr>
                <w:tcW w:w="1250" w:type="dxa"/>
                <w:vAlign w:val="center"/>
              </w:tcPr>
              <w:p w:rsidR="00A523EA" w:rsidRPr="008738CA" w:rsidRDefault="00116C07" w:rsidP="00116C07">
                <w:pPr>
                  <w:bidi/>
                  <w:spacing w:after="0"/>
                  <w:jc w:val="center"/>
                  <w:rPr>
                    <w:rFonts w:ascii="Times New Roman" w:hAnsi="Times New Roman" w:cs="Times New Roman"/>
                    <w:b/>
                    <w:bCs/>
                    <w:rtl/>
                  </w:rPr>
                </w:pPr>
                <w:r w:rsidRPr="008738CA">
                  <w:rPr>
                    <w:rFonts w:ascii="Times New Roman" w:hAnsi="Times New Roman" w:cs="Times New Roman"/>
                    <w:b/>
                    <w:bCs/>
                  </w:rPr>
                  <w:t>33</w:t>
                </w:r>
              </w:p>
            </w:tc>
            <w:tc>
              <w:tcPr>
                <w:tcW w:w="6237" w:type="dxa"/>
                <w:vAlign w:val="center"/>
              </w:tcPr>
              <w:p w:rsidR="00A523EA" w:rsidRPr="003122A3" w:rsidRDefault="004A7C7D" w:rsidP="00540074">
                <w:pPr>
                  <w:spacing w:after="0" w:line="240" w:lineRule="auto"/>
                  <w:rPr>
                    <w:rFonts w:ascii="Times New Roman" w:hAnsi="Times New Roman" w:cs="Times New Roman"/>
                    <w:b/>
                    <w:bCs/>
                    <w:sz w:val="20"/>
                    <w:szCs w:val="20"/>
                    <w:rtl/>
                  </w:rPr>
                </w:pPr>
                <w:r w:rsidRPr="003122A3">
                  <w:rPr>
                    <w:rFonts w:ascii="Times New Roman" w:hAnsi="Times New Roman" w:cs="Times New Roman"/>
                    <w:b/>
                    <w:bCs/>
                    <w:sz w:val="20"/>
                    <w:szCs w:val="20"/>
                  </w:rPr>
                  <w:t>Education Sector</w:t>
                </w:r>
              </w:p>
            </w:tc>
            <w:tc>
              <w:tcPr>
                <w:tcW w:w="1578" w:type="dxa"/>
              </w:tcPr>
              <w:p w:rsidR="00A523EA" w:rsidRPr="003122A3" w:rsidRDefault="00AF6454"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Chapter Three</w:t>
                </w: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33</w:t>
                </w:r>
              </w:p>
            </w:tc>
            <w:tc>
              <w:tcPr>
                <w:tcW w:w="6237" w:type="dxa"/>
                <w:vAlign w:val="center"/>
              </w:tcPr>
              <w:p w:rsidR="00A523EA" w:rsidRPr="003122A3" w:rsidRDefault="00FB380D"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3.1 Public spending on Education</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34</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3.2 Early Childhood Education</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36</w:t>
                </w:r>
              </w:p>
            </w:tc>
            <w:tc>
              <w:tcPr>
                <w:tcW w:w="6237" w:type="dxa"/>
                <w:vAlign w:val="center"/>
              </w:tcPr>
              <w:p w:rsidR="00A523EA" w:rsidRPr="003122A3" w:rsidRDefault="00FD4A90"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3.3 Enrollment Rates</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37</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3.4 Dropout Rates 2012/2013</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38</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3.5 Students Performance in National Exams</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40</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 xml:space="preserve">3.6 Qualified Teachers and Teachers’ Training </w:t>
                </w:r>
                <w:proofErr w:type="spellStart"/>
                <w:r w:rsidRPr="003122A3">
                  <w:rPr>
                    <w:rFonts w:ascii="Times New Roman" w:hAnsi="Times New Roman" w:cs="Times New Roman"/>
                    <w:sz w:val="20"/>
                    <w:szCs w:val="20"/>
                  </w:rPr>
                  <w:t>Startegy</w:t>
                </w:r>
                <w:proofErr w:type="spellEnd"/>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050EBC" w:rsidP="00116C07">
                <w:pPr>
                  <w:bidi/>
                  <w:spacing w:after="0"/>
                  <w:jc w:val="center"/>
                  <w:rPr>
                    <w:rFonts w:ascii="Times New Roman" w:hAnsi="Times New Roman" w:cs="Times New Roman"/>
                    <w:rtl/>
                  </w:rPr>
                </w:pPr>
                <w:r>
                  <w:rPr>
                    <w:rFonts w:ascii="Times New Roman" w:hAnsi="Times New Roman" w:cs="Times New Roman"/>
                  </w:rPr>
                  <w:t>40</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 xml:space="preserve">3.7 Students per Teacher According to </w:t>
                </w:r>
                <w:proofErr w:type="spellStart"/>
                <w:r w:rsidRPr="003122A3">
                  <w:rPr>
                    <w:rFonts w:ascii="Times New Roman" w:hAnsi="Times New Roman" w:cs="Times New Roman"/>
                    <w:sz w:val="20"/>
                    <w:szCs w:val="20"/>
                  </w:rPr>
                  <w:t>Superevising</w:t>
                </w:r>
                <w:proofErr w:type="spellEnd"/>
                <w:r w:rsidRPr="003122A3">
                  <w:rPr>
                    <w:rFonts w:ascii="Times New Roman" w:hAnsi="Times New Roman" w:cs="Times New Roman"/>
                    <w:sz w:val="20"/>
                    <w:szCs w:val="20"/>
                  </w:rPr>
                  <w:t xml:space="preserve"> Agency 2013/2014</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41</w:t>
                </w:r>
              </w:p>
            </w:tc>
            <w:tc>
              <w:tcPr>
                <w:tcW w:w="6237" w:type="dxa"/>
                <w:vAlign w:val="center"/>
              </w:tcPr>
              <w:p w:rsidR="00A523EA" w:rsidRPr="003122A3" w:rsidRDefault="00284097" w:rsidP="00476D77">
                <w:pPr>
                  <w:spacing w:after="0" w:line="240" w:lineRule="auto"/>
                  <w:ind w:left="317" w:hanging="317"/>
                  <w:rPr>
                    <w:rFonts w:ascii="Times New Roman" w:hAnsi="Times New Roman" w:cs="Times New Roman"/>
                    <w:sz w:val="20"/>
                    <w:szCs w:val="20"/>
                  </w:rPr>
                </w:pPr>
                <w:r w:rsidRPr="003122A3">
                  <w:rPr>
                    <w:rFonts w:ascii="Times New Roman" w:hAnsi="Times New Roman" w:cs="Times New Roman"/>
                    <w:sz w:val="20"/>
                    <w:szCs w:val="20"/>
                  </w:rPr>
                  <w:t>3.8 Density of Students in Classrooms in the West Bank and Gaza Strip in 2013/2014</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42</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3.9 Provision of Specialized Classrooms 2012/2013</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050EBC" w:rsidP="00116C07">
                <w:pPr>
                  <w:bidi/>
                  <w:spacing w:after="0"/>
                  <w:jc w:val="center"/>
                  <w:rPr>
                    <w:rFonts w:ascii="Times New Roman" w:hAnsi="Times New Roman" w:cs="Times New Roman"/>
                    <w:rtl/>
                  </w:rPr>
                </w:pPr>
                <w:r>
                  <w:rPr>
                    <w:rFonts w:ascii="Times New Roman" w:hAnsi="Times New Roman" w:cs="Times New Roman"/>
                  </w:rPr>
                  <w:t>42</w:t>
                </w:r>
              </w:p>
            </w:tc>
            <w:tc>
              <w:tcPr>
                <w:tcW w:w="6237" w:type="dxa"/>
                <w:vAlign w:val="center"/>
              </w:tcPr>
              <w:p w:rsidR="00A523EA" w:rsidRPr="003122A3" w:rsidRDefault="00284097" w:rsidP="00476D77">
                <w:pPr>
                  <w:spacing w:after="0" w:line="240" w:lineRule="auto"/>
                  <w:ind w:left="317" w:hanging="317"/>
                  <w:rPr>
                    <w:rFonts w:ascii="Times New Roman" w:hAnsi="Times New Roman" w:cs="Times New Roman"/>
                    <w:sz w:val="20"/>
                    <w:szCs w:val="20"/>
                  </w:rPr>
                </w:pPr>
                <w:r w:rsidRPr="003122A3">
                  <w:rPr>
                    <w:rFonts w:ascii="Times New Roman" w:hAnsi="Times New Roman" w:cs="Times New Roman"/>
                    <w:sz w:val="20"/>
                    <w:szCs w:val="20"/>
                  </w:rPr>
                  <w:t xml:space="preserve">3.10 Schools by Main Source of Water, Electricity and Wastewater </w:t>
                </w:r>
                <w:proofErr w:type="spellStart"/>
                <w:r w:rsidRPr="003122A3">
                  <w:rPr>
                    <w:rFonts w:ascii="Times New Roman" w:hAnsi="Times New Roman" w:cs="Times New Roman"/>
                    <w:sz w:val="20"/>
                    <w:szCs w:val="20"/>
                  </w:rPr>
                  <w:t>Drainag</w:t>
                </w:r>
                <w:proofErr w:type="spellEnd"/>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43</w:t>
                </w:r>
              </w:p>
            </w:tc>
            <w:tc>
              <w:tcPr>
                <w:tcW w:w="6237" w:type="dxa"/>
                <w:vAlign w:val="center"/>
              </w:tcPr>
              <w:p w:rsidR="00A523EA" w:rsidRPr="003122A3" w:rsidRDefault="00284097" w:rsidP="00476D77">
                <w:pPr>
                  <w:spacing w:after="0" w:line="240" w:lineRule="auto"/>
                  <w:ind w:left="317" w:hanging="317"/>
                  <w:rPr>
                    <w:rFonts w:ascii="Times New Roman" w:hAnsi="Times New Roman" w:cs="Times New Roman"/>
                    <w:sz w:val="20"/>
                    <w:szCs w:val="20"/>
                  </w:rPr>
                </w:pPr>
                <w:r w:rsidRPr="003122A3">
                  <w:rPr>
                    <w:rFonts w:ascii="Times New Roman" w:hAnsi="Times New Roman" w:cs="Times New Roman"/>
                    <w:sz w:val="20"/>
                    <w:szCs w:val="20"/>
                  </w:rPr>
                  <w:t>3.11 Students per Drinking Water Fountain, Toilet and Hand Basin 2012/2013</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43</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3.12 School Counseling</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284097" w:rsidRPr="003122A3" w:rsidTr="00FB380D">
            <w:trPr>
              <w:trHeight w:val="284"/>
              <w:jc w:val="center"/>
            </w:trPr>
            <w:tc>
              <w:tcPr>
                <w:tcW w:w="1250" w:type="dxa"/>
                <w:vAlign w:val="center"/>
              </w:tcPr>
              <w:p w:rsidR="00284097" w:rsidRPr="003122A3" w:rsidRDefault="00116C07" w:rsidP="00050EBC">
                <w:pPr>
                  <w:bidi/>
                  <w:spacing w:after="0"/>
                  <w:jc w:val="center"/>
                  <w:rPr>
                    <w:rFonts w:ascii="Times New Roman" w:hAnsi="Times New Roman" w:cs="Times New Roman"/>
                    <w:rtl/>
                  </w:rPr>
                </w:pPr>
                <w:r>
                  <w:rPr>
                    <w:rFonts w:ascii="Times New Roman" w:hAnsi="Times New Roman" w:cs="Times New Roman"/>
                  </w:rPr>
                  <w:t>4</w:t>
                </w:r>
                <w:r w:rsidR="00050EBC">
                  <w:rPr>
                    <w:rFonts w:ascii="Times New Roman" w:hAnsi="Times New Roman" w:cs="Times New Roman"/>
                  </w:rPr>
                  <w:t>3</w:t>
                </w:r>
              </w:p>
            </w:tc>
            <w:tc>
              <w:tcPr>
                <w:tcW w:w="6237" w:type="dxa"/>
                <w:vAlign w:val="center"/>
              </w:tcPr>
              <w:p w:rsidR="00284097"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3.13 Violations against Students and School</w:t>
                </w:r>
              </w:p>
            </w:tc>
            <w:tc>
              <w:tcPr>
                <w:tcW w:w="1578" w:type="dxa"/>
              </w:tcPr>
              <w:p w:rsidR="00284097" w:rsidRPr="003122A3" w:rsidRDefault="00284097" w:rsidP="00540074">
                <w:pPr>
                  <w:spacing w:after="0" w:line="240" w:lineRule="auto"/>
                  <w:rPr>
                    <w:rFonts w:ascii="Times New Roman" w:hAnsi="Times New Roman" w:cs="Times New Roman"/>
                    <w:sz w:val="20"/>
                    <w:szCs w:val="20"/>
                    <w:rtl/>
                  </w:rPr>
                </w:pPr>
              </w:p>
            </w:tc>
          </w:tr>
          <w:tr w:rsidR="00A523EA" w:rsidRPr="003122A3" w:rsidTr="00FB380D">
            <w:trPr>
              <w:trHeight w:hRule="exact" w:val="113"/>
              <w:jc w:val="center"/>
            </w:trPr>
            <w:tc>
              <w:tcPr>
                <w:tcW w:w="1250" w:type="dxa"/>
                <w:vAlign w:val="center"/>
              </w:tcPr>
              <w:p w:rsidR="00A523EA" w:rsidRPr="003122A3" w:rsidRDefault="00A523EA" w:rsidP="00116C07">
                <w:pPr>
                  <w:bidi/>
                  <w:spacing w:after="0"/>
                  <w:jc w:val="center"/>
                  <w:rPr>
                    <w:rFonts w:ascii="Times New Roman" w:hAnsi="Times New Roman" w:cs="Times New Roman"/>
                    <w:rtl/>
                  </w:rPr>
                </w:pPr>
              </w:p>
            </w:tc>
            <w:tc>
              <w:tcPr>
                <w:tcW w:w="6237" w:type="dxa"/>
                <w:vAlign w:val="center"/>
              </w:tcPr>
              <w:p w:rsidR="00A523EA" w:rsidRPr="003122A3" w:rsidRDefault="00A523EA" w:rsidP="00540074">
                <w:pPr>
                  <w:spacing w:after="0" w:line="240" w:lineRule="auto"/>
                  <w:rPr>
                    <w:rFonts w:ascii="Times New Roman" w:hAnsi="Times New Roman" w:cs="Times New Roman"/>
                    <w:sz w:val="20"/>
                    <w:szCs w:val="20"/>
                    <w:rtl/>
                  </w:rPr>
                </w:pP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8738CA" w:rsidRDefault="00116C07" w:rsidP="00050EBC">
                <w:pPr>
                  <w:bidi/>
                  <w:spacing w:after="0"/>
                  <w:jc w:val="center"/>
                  <w:rPr>
                    <w:rFonts w:ascii="Times New Roman" w:hAnsi="Times New Roman" w:cs="Times New Roman"/>
                    <w:b/>
                    <w:bCs/>
                    <w:rtl/>
                  </w:rPr>
                </w:pPr>
                <w:r w:rsidRPr="008738CA">
                  <w:rPr>
                    <w:rFonts w:ascii="Times New Roman" w:hAnsi="Times New Roman" w:cs="Times New Roman"/>
                    <w:b/>
                    <w:bCs/>
                  </w:rPr>
                  <w:t>4</w:t>
                </w:r>
                <w:r w:rsidR="00050EBC">
                  <w:rPr>
                    <w:rFonts w:ascii="Times New Roman" w:hAnsi="Times New Roman" w:cs="Times New Roman"/>
                    <w:b/>
                    <w:bCs/>
                  </w:rPr>
                  <w:t>7</w:t>
                </w:r>
              </w:p>
            </w:tc>
            <w:tc>
              <w:tcPr>
                <w:tcW w:w="6237" w:type="dxa"/>
                <w:vAlign w:val="center"/>
              </w:tcPr>
              <w:p w:rsidR="00A523EA" w:rsidRPr="003122A3" w:rsidRDefault="00284097" w:rsidP="00540074">
                <w:pPr>
                  <w:spacing w:after="0" w:line="240" w:lineRule="auto"/>
                  <w:rPr>
                    <w:rFonts w:ascii="Times New Roman" w:hAnsi="Times New Roman" w:cs="Times New Roman"/>
                    <w:b/>
                    <w:bCs/>
                    <w:sz w:val="20"/>
                    <w:szCs w:val="20"/>
                    <w:rtl/>
                  </w:rPr>
                </w:pPr>
                <w:r w:rsidRPr="003122A3">
                  <w:rPr>
                    <w:rFonts w:ascii="Times New Roman" w:hAnsi="Times New Roman" w:cs="Times New Roman"/>
                    <w:b/>
                    <w:bCs/>
                    <w:sz w:val="20"/>
                    <w:szCs w:val="20"/>
                  </w:rPr>
                  <w:t>Health Status</w:t>
                </w:r>
              </w:p>
            </w:tc>
            <w:tc>
              <w:tcPr>
                <w:tcW w:w="1578" w:type="dxa"/>
              </w:tcPr>
              <w:p w:rsidR="00A523EA" w:rsidRPr="003122A3" w:rsidRDefault="00AF6454"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Chapter Four</w:t>
                </w:r>
              </w:p>
            </w:tc>
          </w:tr>
          <w:tr w:rsidR="00A523EA" w:rsidRPr="003122A3" w:rsidTr="00FB380D">
            <w:trPr>
              <w:trHeight w:val="284"/>
              <w:jc w:val="center"/>
            </w:trPr>
            <w:tc>
              <w:tcPr>
                <w:tcW w:w="1250" w:type="dxa"/>
                <w:vAlign w:val="center"/>
              </w:tcPr>
              <w:p w:rsidR="00A523EA" w:rsidRPr="003122A3" w:rsidRDefault="00116C07" w:rsidP="00050EBC">
                <w:pPr>
                  <w:bidi/>
                  <w:spacing w:after="0"/>
                  <w:jc w:val="center"/>
                  <w:rPr>
                    <w:rFonts w:ascii="Times New Roman" w:hAnsi="Times New Roman" w:cs="Times New Roman"/>
                    <w:rtl/>
                  </w:rPr>
                </w:pPr>
                <w:r>
                  <w:rPr>
                    <w:rFonts w:ascii="Times New Roman" w:hAnsi="Times New Roman" w:cs="Times New Roman"/>
                  </w:rPr>
                  <w:t>4</w:t>
                </w:r>
                <w:r w:rsidR="00050EBC">
                  <w:rPr>
                    <w:rFonts w:ascii="Times New Roman" w:hAnsi="Times New Roman" w:cs="Times New Roman"/>
                  </w:rPr>
                  <w:t>7</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4.1 Spending on Health</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47</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4.2 Prenatal Care and Delivery</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050EBC">
                <w:pPr>
                  <w:bidi/>
                  <w:spacing w:after="0"/>
                  <w:jc w:val="center"/>
                  <w:rPr>
                    <w:rFonts w:ascii="Times New Roman" w:hAnsi="Times New Roman" w:cs="Times New Roman"/>
                    <w:rtl/>
                  </w:rPr>
                </w:pPr>
                <w:r>
                  <w:rPr>
                    <w:rFonts w:ascii="Times New Roman" w:hAnsi="Times New Roman" w:cs="Times New Roman"/>
                  </w:rPr>
                  <w:t>4</w:t>
                </w:r>
                <w:r w:rsidR="00050EBC">
                  <w:rPr>
                    <w:rFonts w:ascii="Times New Roman" w:hAnsi="Times New Roman" w:cs="Times New Roman"/>
                  </w:rPr>
                  <w:t>8</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4.3 Child Mortality</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49</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4.4 Traffic accidents</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50</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4.5 Immunization against Infectious Diseases</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050EBC">
                <w:pPr>
                  <w:bidi/>
                  <w:spacing w:after="0"/>
                  <w:jc w:val="center"/>
                  <w:rPr>
                    <w:rFonts w:ascii="Times New Roman" w:hAnsi="Times New Roman" w:cs="Times New Roman"/>
                    <w:rtl/>
                  </w:rPr>
                </w:pPr>
                <w:r>
                  <w:rPr>
                    <w:rFonts w:ascii="Times New Roman" w:hAnsi="Times New Roman" w:cs="Times New Roman"/>
                  </w:rPr>
                  <w:t>5</w:t>
                </w:r>
                <w:r w:rsidR="00050EBC">
                  <w:rPr>
                    <w:rFonts w:ascii="Times New Roman" w:hAnsi="Times New Roman" w:cs="Times New Roman"/>
                  </w:rPr>
                  <w:t>1</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4.6 Nutritional Indicators</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116C07">
                <w:pPr>
                  <w:bidi/>
                  <w:spacing w:after="0"/>
                  <w:jc w:val="center"/>
                  <w:rPr>
                    <w:rFonts w:ascii="Times New Roman" w:hAnsi="Times New Roman" w:cs="Times New Roman"/>
                    <w:rtl/>
                  </w:rPr>
                </w:pPr>
                <w:r>
                  <w:rPr>
                    <w:rFonts w:ascii="Times New Roman" w:hAnsi="Times New Roman" w:cs="Times New Roman"/>
                  </w:rPr>
                  <w:t>51</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4.7 Breastfeeding</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284097" w:rsidRPr="003122A3" w:rsidTr="00FB380D">
            <w:trPr>
              <w:trHeight w:val="284"/>
              <w:jc w:val="center"/>
            </w:trPr>
            <w:tc>
              <w:tcPr>
                <w:tcW w:w="1250" w:type="dxa"/>
                <w:vAlign w:val="center"/>
              </w:tcPr>
              <w:p w:rsidR="00284097" w:rsidRPr="003122A3" w:rsidRDefault="00116C07" w:rsidP="00050EBC">
                <w:pPr>
                  <w:bidi/>
                  <w:spacing w:after="0"/>
                  <w:jc w:val="center"/>
                  <w:rPr>
                    <w:rFonts w:ascii="Times New Roman" w:hAnsi="Times New Roman" w:cs="Times New Roman"/>
                    <w:rtl/>
                  </w:rPr>
                </w:pPr>
                <w:r>
                  <w:rPr>
                    <w:rFonts w:ascii="Times New Roman" w:hAnsi="Times New Roman" w:cs="Times New Roman"/>
                  </w:rPr>
                  <w:t>5</w:t>
                </w:r>
                <w:r w:rsidR="00050EBC">
                  <w:rPr>
                    <w:rFonts w:ascii="Times New Roman" w:hAnsi="Times New Roman" w:cs="Times New Roman"/>
                  </w:rPr>
                  <w:t>2</w:t>
                </w:r>
              </w:p>
            </w:tc>
            <w:tc>
              <w:tcPr>
                <w:tcW w:w="6237" w:type="dxa"/>
                <w:vAlign w:val="center"/>
              </w:tcPr>
              <w:p w:rsidR="00284097"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4.8 Underweight, Wasting, Stunting and Anemia</w:t>
                </w:r>
              </w:p>
            </w:tc>
            <w:tc>
              <w:tcPr>
                <w:tcW w:w="1578" w:type="dxa"/>
              </w:tcPr>
              <w:p w:rsidR="00284097" w:rsidRPr="003122A3" w:rsidRDefault="00284097" w:rsidP="00540074">
                <w:pPr>
                  <w:spacing w:after="0" w:line="240" w:lineRule="auto"/>
                  <w:rPr>
                    <w:rFonts w:ascii="Times New Roman" w:hAnsi="Times New Roman" w:cs="Times New Roman"/>
                    <w:sz w:val="20"/>
                    <w:szCs w:val="20"/>
                    <w:rtl/>
                  </w:rPr>
                </w:pPr>
              </w:p>
            </w:tc>
          </w:tr>
          <w:tr w:rsidR="00A523EA" w:rsidRPr="003122A3" w:rsidTr="00FB380D">
            <w:trPr>
              <w:trHeight w:hRule="exact" w:val="113"/>
              <w:jc w:val="center"/>
            </w:trPr>
            <w:tc>
              <w:tcPr>
                <w:tcW w:w="1250" w:type="dxa"/>
                <w:vAlign w:val="center"/>
              </w:tcPr>
              <w:p w:rsidR="00A523EA" w:rsidRPr="003122A3" w:rsidRDefault="00A523EA" w:rsidP="00116C07">
                <w:pPr>
                  <w:bidi/>
                  <w:spacing w:after="0"/>
                  <w:jc w:val="center"/>
                  <w:rPr>
                    <w:rFonts w:ascii="Times New Roman" w:hAnsi="Times New Roman" w:cs="Times New Roman"/>
                    <w:rtl/>
                  </w:rPr>
                </w:pPr>
              </w:p>
            </w:tc>
            <w:tc>
              <w:tcPr>
                <w:tcW w:w="6237" w:type="dxa"/>
                <w:vAlign w:val="center"/>
              </w:tcPr>
              <w:p w:rsidR="00A523EA" w:rsidRPr="003122A3" w:rsidRDefault="00A523EA" w:rsidP="00540074">
                <w:pPr>
                  <w:spacing w:after="0" w:line="240" w:lineRule="auto"/>
                  <w:rPr>
                    <w:rFonts w:ascii="Times New Roman" w:hAnsi="Times New Roman" w:cs="Times New Roman"/>
                    <w:sz w:val="20"/>
                    <w:szCs w:val="20"/>
                    <w:rtl/>
                  </w:rPr>
                </w:pP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8738CA" w:rsidRDefault="00116C07" w:rsidP="00050EBC">
                <w:pPr>
                  <w:bidi/>
                  <w:spacing w:after="0"/>
                  <w:jc w:val="center"/>
                  <w:rPr>
                    <w:rFonts w:ascii="Times New Roman" w:hAnsi="Times New Roman" w:cs="Times New Roman"/>
                    <w:b/>
                    <w:bCs/>
                    <w:rtl/>
                  </w:rPr>
                </w:pPr>
                <w:r w:rsidRPr="008738CA">
                  <w:rPr>
                    <w:rFonts w:ascii="Times New Roman" w:hAnsi="Times New Roman" w:cs="Times New Roman"/>
                    <w:b/>
                    <w:bCs/>
                  </w:rPr>
                  <w:t>5</w:t>
                </w:r>
                <w:r w:rsidR="00050EBC">
                  <w:rPr>
                    <w:rFonts w:ascii="Times New Roman" w:hAnsi="Times New Roman" w:cs="Times New Roman"/>
                    <w:b/>
                    <w:bCs/>
                  </w:rPr>
                  <w:t>5</w:t>
                </w:r>
              </w:p>
            </w:tc>
            <w:tc>
              <w:tcPr>
                <w:tcW w:w="6237" w:type="dxa"/>
                <w:vAlign w:val="center"/>
              </w:tcPr>
              <w:p w:rsidR="00A523EA" w:rsidRPr="003122A3" w:rsidRDefault="00284097" w:rsidP="00540074">
                <w:pPr>
                  <w:spacing w:after="0" w:line="240" w:lineRule="auto"/>
                  <w:rPr>
                    <w:rFonts w:ascii="Times New Roman" w:hAnsi="Times New Roman" w:cs="Times New Roman"/>
                    <w:b/>
                    <w:bCs/>
                    <w:sz w:val="20"/>
                    <w:szCs w:val="20"/>
                  </w:rPr>
                </w:pPr>
                <w:r w:rsidRPr="003122A3">
                  <w:rPr>
                    <w:rFonts w:ascii="Times New Roman" w:hAnsi="Times New Roman" w:cs="Times New Roman"/>
                    <w:b/>
                    <w:bCs/>
                    <w:sz w:val="20"/>
                    <w:szCs w:val="20"/>
                  </w:rPr>
                  <w:t>Children under Occupation</w:t>
                </w:r>
              </w:p>
            </w:tc>
            <w:tc>
              <w:tcPr>
                <w:tcW w:w="1578" w:type="dxa"/>
              </w:tcPr>
              <w:p w:rsidR="00A523EA" w:rsidRPr="003122A3" w:rsidRDefault="00AF6454"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Chapter Five</w:t>
                </w:r>
              </w:p>
            </w:tc>
          </w:tr>
          <w:tr w:rsidR="00A523EA" w:rsidRPr="003122A3" w:rsidTr="00FB380D">
            <w:trPr>
              <w:trHeight w:val="284"/>
              <w:jc w:val="center"/>
            </w:trPr>
            <w:tc>
              <w:tcPr>
                <w:tcW w:w="1250" w:type="dxa"/>
                <w:vAlign w:val="center"/>
              </w:tcPr>
              <w:p w:rsidR="00A523EA" w:rsidRPr="003122A3" w:rsidRDefault="00116C07" w:rsidP="00050EBC">
                <w:pPr>
                  <w:bidi/>
                  <w:spacing w:after="0"/>
                  <w:jc w:val="center"/>
                  <w:rPr>
                    <w:rFonts w:ascii="Times New Roman" w:hAnsi="Times New Roman" w:cs="Times New Roman"/>
                    <w:rtl/>
                  </w:rPr>
                </w:pPr>
                <w:r>
                  <w:rPr>
                    <w:rFonts w:ascii="Times New Roman" w:hAnsi="Times New Roman" w:cs="Times New Roman"/>
                  </w:rPr>
                  <w:t>5</w:t>
                </w:r>
                <w:r w:rsidR="00050EBC">
                  <w:rPr>
                    <w:rFonts w:ascii="Times New Roman" w:hAnsi="Times New Roman" w:cs="Times New Roman"/>
                  </w:rPr>
                  <w:t>5</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5.1 Injured Children</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050EBC">
                <w:pPr>
                  <w:bidi/>
                  <w:spacing w:after="0"/>
                  <w:jc w:val="center"/>
                  <w:rPr>
                    <w:rFonts w:ascii="Times New Roman" w:hAnsi="Times New Roman" w:cs="Times New Roman"/>
                    <w:rtl/>
                  </w:rPr>
                </w:pPr>
                <w:r>
                  <w:rPr>
                    <w:rFonts w:ascii="Times New Roman" w:hAnsi="Times New Roman" w:cs="Times New Roman"/>
                  </w:rPr>
                  <w:t>5</w:t>
                </w:r>
                <w:r w:rsidR="00050EBC">
                  <w:rPr>
                    <w:rFonts w:ascii="Times New Roman" w:hAnsi="Times New Roman" w:cs="Times New Roman"/>
                  </w:rPr>
                  <w:t>6</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5.2 Child Martyrs</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050EBC">
                <w:pPr>
                  <w:bidi/>
                  <w:spacing w:after="0"/>
                  <w:jc w:val="center"/>
                  <w:rPr>
                    <w:rFonts w:ascii="Times New Roman" w:hAnsi="Times New Roman" w:cs="Times New Roman"/>
                    <w:rtl/>
                  </w:rPr>
                </w:pPr>
                <w:r>
                  <w:rPr>
                    <w:rFonts w:ascii="Times New Roman" w:hAnsi="Times New Roman" w:cs="Times New Roman"/>
                  </w:rPr>
                  <w:t>5</w:t>
                </w:r>
                <w:r w:rsidR="00050EBC">
                  <w:rPr>
                    <w:rFonts w:ascii="Times New Roman" w:hAnsi="Times New Roman" w:cs="Times New Roman"/>
                  </w:rPr>
                  <w:t>7</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5.3 Child Detainees</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284097" w:rsidRPr="003122A3" w:rsidTr="00FB380D">
            <w:trPr>
              <w:trHeight w:val="284"/>
              <w:jc w:val="center"/>
            </w:trPr>
            <w:tc>
              <w:tcPr>
                <w:tcW w:w="1250" w:type="dxa"/>
                <w:vAlign w:val="center"/>
              </w:tcPr>
              <w:p w:rsidR="00284097" w:rsidRPr="003122A3" w:rsidRDefault="00116C07" w:rsidP="00050EBC">
                <w:pPr>
                  <w:bidi/>
                  <w:spacing w:after="0"/>
                  <w:jc w:val="center"/>
                  <w:rPr>
                    <w:rFonts w:ascii="Times New Roman" w:hAnsi="Times New Roman" w:cs="Times New Roman"/>
                    <w:rtl/>
                  </w:rPr>
                </w:pPr>
                <w:r>
                  <w:rPr>
                    <w:rFonts w:ascii="Times New Roman" w:hAnsi="Times New Roman" w:cs="Times New Roman"/>
                  </w:rPr>
                  <w:t>5</w:t>
                </w:r>
                <w:r w:rsidR="00050EBC">
                  <w:rPr>
                    <w:rFonts w:ascii="Times New Roman" w:hAnsi="Times New Roman" w:cs="Times New Roman"/>
                  </w:rPr>
                  <w:t>9</w:t>
                </w:r>
              </w:p>
            </w:tc>
            <w:tc>
              <w:tcPr>
                <w:tcW w:w="6237" w:type="dxa"/>
                <w:vAlign w:val="center"/>
              </w:tcPr>
              <w:p w:rsidR="00284097"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5.4 The Recruitment and Use of Children as Informants or Human Shields</w:t>
                </w:r>
              </w:p>
            </w:tc>
            <w:tc>
              <w:tcPr>
                <w:tcW w:w="1578" w:type="dxa"/>
              </w:tcPr>
              <w:p w:rsidR="00284097" w:rsidRPr="003122A3" w:rsidRDefault="00284097" w:rsidP="00540074">
                <w:pPr>
                  <w:spacing w:after="0" w:line="240" w:lineRule="auto"/>
                  <w:rPr>
                    <w:rFonts w:ascii="Times New Roman" w:hAnsi="Times New Roman" w:cs="Times New Roman"/>
                    <w:sz w:val="20"/>
                    <w:szCs w:val="20"/>
                    <w:rtl/>
                  </w:rPr>
                </w:pPr>
              </w:p>
            </w:tc>
          </w:tr>
          <w:tr w:rsidR="00A523EA" w:rsidRPr="003122A3" w:rsidTr="00FB380D">
            <w:trPr>
              <w:trHeight w:hRule="exact" w:val="113"/>
              <w:jc w:val="center"/>
            </w:trPr>
            <w:tc>
              <w:tcPr>
                <w:tcW w:w="1250" w:type="dxa"/>
                <w:vAlign w:val="center"/>
              </w:tcPr>
              <w:p w:rsidR="00A523EA" w:rsidRPr="003122A3" w:rsidRDefault="00A523EA" w:rsidP="00116C07">
                <w:pPr>
                  <w:bidi/>
                  <w:spacing w:after="0"/>
                  <w:jc w:val="center"/>
                  <w:rPr>
                    <w:rFonts w:ascii="Times New Roman" w:hAnsi="Times New Roman" w:cs="Times New Roman"/>
                    <w:rtl/>
                  </w:rPr>
                </w:pPr>
              </w:p>
            </w:tc>
            <w:tc>
              <w:tcPr>
                <w:tcW w:w="6237" w:type="dxa"/>
                <w:vAlign w:val="center"/>
              </w:tcPr>
              <w:p w:rsidR="00A523EA" w:rsidRPr="003122A3" w:rsidRDefault="00A523EA" w:rsidP="00540074">
                <w:pPr>
                  <w:spacing w:after="0" w:line="240" w:lineRule="auto"/>
                  <w:rPr>
                    <w:rFonts w:ascii="Times New Roman" w:hAnsi="Times New Roman" w:cs="Times New Roman"/>
                    <w:sz w:val="20"/>
                    <w:szCs w:val="20"/>
                    <w:rtl/>
                  </w:rPr>
                </w:pP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8738CA" w:rsidRDefault="00050EBC" w:rsidP="00EC2421">
                <w:pPr>
                  <w:bidi/>
                  <w:spacing w:after="0"/>
                  <w:jc w:val="center"/>
                  <w:rPr>
                    <w:rFonts w:ascii="Times New Roman" w:hAnsi="Times New Roman" w:cs="Times New Roman"/>
                    <w:b/>
                    <w:bCs/>
                    <w:rtl/>
                  </w:rPr>
                </w:pPr>
                <w:r>
                  <w:rPr>
                    <w:rFonts w:ascii="Times New Roman" w:hAnsi="Times New Roman" w:cs="Times New Roman"/>
                    <w:b/>
                    <w:bCs/>
                  </w:rPr>
                  <w:t>6</w:t>
                </w:r>
                <w:r w:rsidR="00EC2421">
                  <w:rPr>
                    <w:rFonts w:ascii="Times New Roman" w:hAnsi="Times New Roman" w:cs="Times New Roman"/>
                    <w:b/>
                    <w:bCs/>
                  </w:rPr>
                  <w:t>1</w:t>
                </w:r>
              </w:p>
            </w:tc>
            <w:tc>
              <w:tcPr>
                <w:tcW w:w="6237" w:type="dxa"/>
                <w:vAlign w:val="center"/>
              </w:tcPr>
              <w:p w:rsidR="00A523EA" w:rsidRPr="003122A3" w:rsidRDefault="00284097" w:rsidP="00540074">
                <w:pPr>
                  <w:spacing w:after="0" w:line="240" w:lineRule="auto"/>
                  <w:rPr>
                    <w:rFonts w:ascii="Times New Roman" w:hAnsi="Times New Roman" w:cs="Times New Roman"/>
                    <w:b/>
                    <w:bCs/>
                    <w:sz w:val="20"/>
                    <w:szCs w:val="20"/>
                    <w:rtl/>
                  </w:rPr>
                </w:pPr>
                <w:r w:rsidRPr="003122A3">
                  <w:rPr>
                    <w:rFonts w:ascii="Times New Roman" w:hAnsi="Times New Roman" w:cs="Times New Roman"/>
                    <w:b/>
                    <w:bCs/>
                    <w:sz w:val="20"/>
                    <w:szCs w:val="20"/>
                  </w:rPr>
                  <w:t>Protection</w:t>
                </w:r>
              </w:p>
            </w:tc>
            <w:tc>
              <w:tcPr>
                <w:tcW w:w="1578" w:type="dxa"/>
              </w:tcPr>
              <w:p w:rsidR="00A523EA" w:rsidRPr="003122A3" w:rsidRDefault="00AF6454"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Chapter Six</w:t>
                </w:r>
              </w:p>
            </w:tc>
          </w:tr>
          <w:tr w:rsidR="00A523EA" w:rsidRPr="003122A3" w:rsidTr="00FB380D">
            <w:trPr>
              <w:trHeight w:val="284"/>
              <w:jc w:val="center"/>
            </w:trPr>
            <w:tc>
              <w:tcPr>
                <w:tcW w:w="1250" w:type="dxa"/>
                <w:vAlign w:val="center"/>
              </w:tcPr>
              <w:p w:rsidR="00A523EA" w:rsidRPr="003122A3" w:rsidRDefault="00050EBC" w:rsidP="00EC2421">
                <w:pPr>
                  <w:bidi/>
                  <w:spacing w:after="0"/>
                  <w:jc w:val="center"/>
                  <w:rPr>
                    <w:rFonts w:ascii="Times New Roman" w:hAnsi="Times New Roman" w:cs="Times New Roman"/>
                    <w:rtl/>
                  </w:rPr>
                </w:pPr>
                <w:r>
                  <w:rPr>
                    <w:rFonts w:ascii="Times New Roman" w:hAnsi="Times New Roman" w:cs="Times New Roman"/>
                  </w:rPr>
                  <w:t>6</w:t>
                </w:r>
                <w:r w:rsidR="00EC2421">
                  <w:rPr>
                    <w:rFonts w:ascii="Times New Roman" w:hAnsi="Times New Roman" w:cs="Times New Roman"/>
                  </w:rPr>
                  <w:t>1</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6.1</w:t>
                </w:r>
                <w:r w:rsidR="00C40730">
                  <w:rPr>
                    <w:rFonts w:ascii="Times New Roman" w:hAnsi="Times New Roman" w:cs="Times New Roman"/>
                    <w:sz w:val="20"/>
                    <w:szCs w:val="20"/>
                  </w:rPr>
                  <w:t xml:space="preserve"> </w:t>
                </w:r>
                <w:r w:rsidRPr="003122A3">
                  <w:rPr>
                    <w:rFonts w:ascii="Times New Roman" w:hAnsi="Times New Roman" w:cs="Times New Roman"/>
                    <w:sz w:val="20"/>
                    <w:szCs w:val="20"/>
                  </w:rPr>
                  <w:t>Child Labor and Economic Exploitation</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EC2421">
                <w:pPr>
                  <w:bidi/>
                  <w:spacing w:after="0"/>
                  <w:jc w:val="center"/>
                  <w:rPr>
                    <w:rFonts w:ascii="Times New Roman" w:hAnsi="Times New Roman" w:cs="Times New Roman"/>
                    <w:rtl/>
                  </w:rPr>
                </w:pPr>
                <w:r>
                  <w:rPr>
                    <w:rFonts w:ascii="Times New Roman" w:hAnsi="Times New Roman" w:cs="Times New Roman"/>
                  </w:rPr>
                  <w:t>6</w:t>
                </w:r>
                <w:r w:rsidR="00EC2421">
                  <w:rPr>
                    <w:rFonts w:ascii="Times New Roman" w:hAnsi="Times New Roman" w:cs="Times New Roman"/>
                  </w:rPr>
                  <w:t>3</w:t>
                </w:r>
              </w:p>
            </w:tc>
            <w:tc>
              <w:tcPr>
                <w:tcW w:w="6237" w:type="dxa"/>
                <w:vAlign w:val="center"/>
              </w:tcPr>
              <w:p w:rsidR="00A523EA" w:rsidRPr="003122A3" w:rsidRDefault="00284097"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6.2 Unemployment</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EC2421">
                <w:pPr>
                  <w:bidi/>
                  <w:spacing w:after="0"/>
                  <w:jc w:val="center"/>
                  <w:rPr>
                    <w:rFonts w:ascii="Times New Roman" w:hAnsi="Times New Roman" w:cs="Times New Roman"/>
                    <w:rtl/>
                  </w:rPr>
                </w:pPr>
                <w:r>
                  <w:rPr>
                    <w:rFonts w:ascii="Times New Roman" w:hAnsi="Times New Roman" w:cs="Times New Roman"/>
                  </w:rPr>
                  <w:t>6</w:t>
                </w:r>
                <w:r w:rsidR="00EC2421">
                  <w:rPr>
                    <w:rFonts w:ascii="Times New Roman" w:hAnsi="Times New Roman" w:cs="Times New Roman"/>
                  </w:rPr>
                  <w:t>4</w:t>
                </w:r>
              </w:p>
            </w:tc>
            <w:tc>
              <w:tcPr>
                <w:tcW w:w="6237" w:type="dxa"/>
                <w:vAlign w:val="center"/>
              </w:tcPr>
              <w:p w:rsidR="00A523EA" w:rsidRPr="003122A3" w:rsidRDefault="001D74E3"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6.3 Poverty</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EC2421">
                <w:pPr>
                  <w:bidi/>
                  <w:spacing w:after="0"/>
                  <w:jc w:val="center"/>
                  <w:rPr>
                    <w:rFonts w:ascii="Times New Roman" w:hAnsi="Times New Roman" w:cs="Times New Roman"/>
                    <w:rtl/>
                  </w:rPr>
                </w:pPr>
                <w:r>
                  <w:rPr>
                    <w:rFonts w:ascii="Times New Roman" w:hAnsi="Times New Roman" w:cs="Times New Roman"/>
                  </w:rPr>
                  <w:t>6</w:t>
                </w:r>
                <w:r w:rsidR="00EC2421">
                  <w:rPr>
                    <w:rFonts w:ascii="Times New Roman" w:hAnsi="Times New Roman" w:cs="Times New Roman"/>
                  </w:rPr>
                  <w:t>7</w:t>
                </w:r>
              </w:p>
            </w:tc>
            <w:tc>
              <w:tcPr>
                <w:tcW w:w="6237" w:type="dxa"/>
                <w:vAlign w:val="center"/>
              </w:tcPr>
              <w:p w:rsidR="00A523EA" w:rsidRPr="003122A3" w:rsidRDefault="001D74E3"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6.4 Children in Conflict with the Law</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EC2421">
                <w:pPr>
                  <w:bidi/>
                  <w:spacing w:after="0"/>
                  <w:jc w:val="center"/>
                  <w:rPr>
                    <w:rFonts w:ascii="Times New Roman" w:hAnsi="Times New Roman" w:cs="Times New Roman"/>
                    <w:rtl/>
                  </w:rPr>
                </w:pPr>
                <w:r>
                  <w:rPr>
                    <w:rFonts w:ascii="Times New Roman" w:hAnsi="Times New Roman" w:cs="Times New Roman"/>
                  </w:rPr>
                  <w:t>6</w:t>
                </w:r>
                <w:r w:rsidR="00EC2421">
                  <w:rPr>
                    <w:rFonts w:ascii="Times New Roman" w:hAnsi="Times New Roman" w:cs="Times New Roman"/>
                  </w:rPr>
                  <w:t>9</w:t>
                </w:r>
              </w:p>
            </w:tc>
            <w:tc>
              <w:tcPr>
                <w:tcW w:w="6237" w:type="dxa"/>
                <w:vAlign w:val="center"/>
              </w:tcPr>
              <w:p w:rsidR="00A523EA" w:rsidRPr="003122A3" w:rsidRDefault="001D74E3"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6.5 Violence, Abuse and Neglect</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C40730">
            <w:trPr>
              <w:trHeight w:val="284"/>
              <w:jc w:val="center"/>
            </w:trPr>
            <w:tc>
              <w:tcPr>
                <w:tcW w:w="1250" w:type="dxa"/>
              </w:tcPr>
              <w:p w:rsidR="00A523EA" w:rsidRPr="003122A3" w:rsidRDefault="00116C07" w:rsidP="00C40730">
                <w:pPr>
                  <w:bidi/>
                  <w:spacing w:after="0"/>
                  <w:jc w:val="center"/>
                  <w:rPr>
                    <w:rFonts w:ascii="Times New Roman" w:hAnsi="Times New Roman" w:cs="Times New Roman"/>
                    <w:rtl/>
                  </w:rPr>
                </w:pPr>
                <w:r>
                  <w:rPr>
                    <w:rFonts w:ascii="Times New Roman" w:hAnsi="Times New Roman" w:cs="Times New Roman"/>
                  </w:rPr>
                  <w:t>7</w:t>
                </w:r>
                <w:r w:rsidR="00EC2421">
                  <w:rPr>
                    <w:rFonts w:ascii="Times New Roman" w:hAnsi="Times New Roman" w:cs="Times New Roman"/>
                  </w:rPr>
                  <w:t>3</w:t>
                </w:r>
              </w:p>
            </w:tc>
            <w:tc>
              <w:tcPr>
                <w:tcW w:w="6237" w:type="dxa"/>
                <w:vAlign w:val="center"/>
              </w:tcPr>
              <w:p w:rsidR="00A523EA" w:rsidRPr="003122A3" w:rsidRDefault="001D74E3" w:rsidP="00476D77">
                <w:pPr>
                  <w:spacing w:after="0" w:line="240" w:lineRule="auto"/>
                  <w:ind w:left="317" w:hanging="317"/>
                  <w:rPr>
                    <w:rFonts w:ascii="Times New Roman" w:hAnsi="Times New Roman" w:cs="Times New Roman"/>
                    <w:sz w:val="20"/>
                    <w:szCs w:val="20"/>
                  </w:rPr>
                </w:pPr>
                <w:r w:rsidRPr="003122A3">
                  <w:rPr>
                    <w:rFonts w:ascii="Times New Roman" w:hAnsi="Times New Roman" w:cs="Times New Roman"/>
                    <w:sz w:val="20"/>
                    <w:szCs w:val="20"/>
                  </w:rPr>
                  <w:t>6.6 Statistical Indicators of Children in Foster Families and Children Receiving Inadequate Family Care</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9379B5" w:rsidRPr="003122A3" w:rsidTr="00FB380D">
            <w:trPr>
              <w:trHeight w:val="284"/>
              <w:jc w:val="center"/>
            </w:trPr>
            <w:tc>
              <w:tcPr>
                <w:tcW w:w="1250" w:type="dxa"/>
                <w:vAlign w:val="center"/>
              </w:tcPr>
              <w:p w:rsidR="009379B5" w:rsidRPr="003122A3" w:rsidRDefault="00116C07" w:rsidP="00EC2421">
                <w:pPr>
                  <w:bidi/>
                  <w:spacing w:after="0"/>
                  <w:jc w:val="center"/>
                  <w:rPr>
                    <w:rFonts w:ascii="Times New Roman" w:hAnsi="Times New Roman" w:cs="Times New Roman"/>
                    <w:rtl/>
                  </w:rPr>
                </w:pPr>
                <w:r>
                  <w:rPr>
                    <w:rFonts w:ascii="Times New Roman" w:hAnsi="Times New Roman" w:cs="Times New Roman"/>
                  </w:rPr>
                  <w:t>7</w:t>
                </w:r>
                <w:r w:rsidR="00EC2421">
                  <w:rPr>
                    <w:rFonts w:ascii="Times New Roman" w:hAnsi="Times New Roman" w:cs="Times New Roman"/>
                  </w:rPr>
                  <w:t>4</w:t>
                </w:r>
              </w:p>
            </w:tc>
            <w:tc>
              <w:tcPr>
                <w:tcW w:w="6237" w:type="dxa"/>
                <w:vAlign w:val="center"/>
              </w:tcPr>
              <w:p w:rsidR="009379B5" w:rsidRPr="003122A3" w:rsidRDefault="009379B5" w:rsidP="00476D77">
                <w:pPr>
                  <w:spacing w:after="0" w:line="240" w:lineRule="auto"/>
                  <w:ind w:left="317" w:hanging="317"/>
                  <w:rPr>
                    <w:rFonts w:ascii="Times New Roman" w:hAnsi="Times New Roman" w:cs="Times New Roman"/>
                    <w:sz w:val="20"/>
                    <w:szCs w:val="20"/>
                  </w:rPr>
                </w:pPr>
                <w:r w:rsidRPr="009379B5">
                  <w:rPr>
                    <w:rFonts w:ascii="Times New Roman" w:hAnsi="Times New Roman" w:cs="Times New Roman"/>
                    <w:sz w:val="20"/>
                    <w:szCs w:val="20"/>
                  </w:rPr>
                  <w:t>6.7 Children with Disabilities</w:t>
                </w:r>
              </w:p>
            </w:tc>
            <w:tc>
              <w:tcPr>
                <w:tcW w:w="1578" w:type="dxa"/>
              </w:tcPr>
              <w:p w:rsidR="009379B5" w:rsidRPr="003122A3" w:rsidRDefault="009379B5" w:rsidP="00540074">
                <w:pPr>
                  <w:spacing w:after="0" w:line="240" w:lineRule="auto"/>
                  <w:rPr>
                    <w:rFonts w:ascii="Times New Roman" w:hAnsi="Times New Roman" w:cs="Times New Roman"/>
                    <w:sz w:val="20"/>
                    <w:szCs w:val="20"/>
                    <w:rtl/>
                  </w:rPr>
                </w:pPr>
              </w:p>
            </w:tc>
          </w:tr>
          <w:tr w:rsidR="00A523EA" w:rsidRPr="003122A3" w:rsidTr="00FB380D">
            <w:trPr>
              <w:trHeight w:hRule="exact" w:val="113"/>
              <w:jc w:val="center"/>
            </w:trPr>
            <w:tc>
              <w:tcPr>
                <w:tcW w:w="1250" w:type="dxa"/>
                <w:vAlign w:val="center"/>
              </w:tcPr>
              <w:p w:rsidR="00A523EA" w:rsidRPr="003122A3" w:rsidRDefault="00A523EA" w:rsidP="00116C07">
                <w:pPr>
                  <w:bidi/>
                  <w:spacing w:after="0"/>
                  <w:jc w:val="center"/>
                  <w:rPr>
                    <w:rFonts w:ascii="Times New Roman" w:hAnsi="Times New Roman" w:cs="Times New Roman"/>
                    <w:rtl/>
                  </w:rPr>
                </w:pPr>
              </w:p>
            </w:tc>
            <w:tc>
              <w:tcPr>
                <w:tcW w:w="6237" w:type="dxa"/>
                <w:vAlign w:val="center"/>
              </w:tcPr>
              <w:p w:rsidR="00A523EA" w:rsidRPr="003122A3" w:rsidRDefault="00A523EA" w:rsidP="00540074">
                <w:pPr>
                  <w:spacing w:after="0" w:line="240" w:lineRule="auto"/>
                  <w:rPr>
                    <w:rFonts w:ascii="Times New Roman" w:hAnsi="Times New Roman" w:cs="Times New Roman"/>
                    <w:sz w:val="20"/>
                    <w:szCs w:val="20"/>
                    <w:rtl/>
                  </w:rPr>
                </w:pP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1D74E3" w:rsidRPr="003122A3" w:rsidTr="00FB380D">
            <w:trPr>
              <w:trHeight w:val="284"/>
              <w:jc w:val="center"/>
            </w:trPr>
            <w:tc>
              <w:tcPr>
                <w:tcW w:w="1250" w:type="dxa"/>
                <w:vAlign w:val="center"/>
              </w:tcPr>
              <w:p w:rsidR="001D74E3" w:rsidRPr="008738CA" w:rsidRDefault="00116C07" w:rsidP="005C684C">
                <w:pPr>
                  <w:bidi/>
                  <w:spacing w:after="0"/>
                  <w:jc w:val="center"/>
                  <w:rPr>
                    <w:rFonts w:ascii="Times New Roman" w:hAnsi="Times New Roman" w:cs="Times New Roman"/>
                    <w:b/>
                    <w:bCs/>
                    <w:rtl/>
                  </w:rPr>
                </w:pPr>
                <w:r w:rsidRPr="008738CA">
                  <w:rPr>
                    <w:rFonts w:ascii="Times New Roman" w:hAnsi="Times New Roman" w:cs="Times New Roman"/>
                    <w:b/>
                    <w:bCs/>
                  </w:rPr>
                  <w:t>8</w:t>
                </w:r>
                <w:r w:rsidR="005C684C">
                  <w:rPr>
                    <w:rFonts w:ascii="Times New Roman" w:hAnsi="Times New Roman" w:cs="Times New Roman"/>
                    <w:b/>
                    <w:bCs/>
                  </w:rPr>
                  <w:t>1</w:t>
                </w:r>
              </w:p>
            </w:tc>
            <w:tc>
              <w:tcPr>
                <w:tcW w:w="6237" w:type="dxa"/>
                <w:vAlign w:val="center"/>
              </w:tcPr>
              <w:p w:rsidR="001D74E3" w:rsidRPr="003122A3" w:rsidRDefault="001D74E3" w:rsidP="00540074">
                <w:pPr>
                  <w:spacing w:after="0" w:line="240" w:lineRule="auto"/>
                  <w:rPr>
                    <w:rFonts w:ascii="Times New Roman" w:hAnsi="Times New Roman" w:cs="Times New Roman"/>
                    <w:b/>
                    <w:bCs/>
                    <w:sz w:val="20"/>
                    <w:szCs w:val="20"/>
                  </w:rPr>
                </w:pPr>
                <w:r w:rsidRPr="003122A3">
                  <w:rPr>
                    <w:rFonts w:ascii="Times New Roman" w:hAnsi="Times New Roman" w:cs="Times New Roman"/>
                    <w:b/>
                    <w:bCs/>
                    <w:sz w:val="20"/>
                    <w:szCs w:val="20"/>
                  </w:rPr>
                  <w:t>Children and the IT Society</w:t>
                </w:r>
              </w:p>
            </w:tc>
            <w:tc>
              <w:tcPr>
                <w:tcW w:w="1578" w:type="dxa"/>
              </w:tcPr>
              <w:p w:rsidR="001D74E3" w:rsidRPr="003122A3" w:rsidRDefault="00AF6454"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Chapter Seven</w:t>
                </w:r>
              </w:p>
            </w:tc>
          </w:tr>
          <w:tr w:rsidR="00A523EA" w:rsidRPr="003122A3" w:rsidTr="00FB380D">
            <w:trPr>
              <w:trHeight w:hRule="exact" w:val="113"/>
              <w:jc w:val="center"/>
            </w:trPr>
            <w:tc>
              <w:tcPr>
                <w:tcW w:w="1250" w:type="dxa"/>
                <w:vAlign w:val="center"/>
              </w:tcPr>
              <w:p w:rsidR="00A523EA" w:rsidRPr="003122A3" w:rsidRDefault="00A523EA" w:rsidP="00116C07">
                <w:pPr>
                  <w:bidi/>
                  <w:spacing w:after="0"/>
                  <w:jc w:val="center"/>
                  <w:rPr>
                    <w:rFonts w:ascii="Times New Roman" w:hAnsi="Times New Roman" w:cs="Times New Roman"/>
                    <w:rtl/>
                  </w:rPr>
                </w:pPr>
              </w:p>
            </w:tc>
            <w:tc>
              <w:tcPr>
                <w:tcW w:w="6237" w:type="dxa"/>
                <w:vAlign w:val="center"/>
              </w:tcPr>
              <w:p w:rsidR="00A523EA" w:rsidRPr="003122A3" w:rsidRDefault="00A523EA" w:rsidP="00540074">
                <w:pPr>
                  <w:spacing w:after="0" w:line="240" w:lineRule="auto"/>
                  <w:rPr>
                    <w:rFonts w:ascii="Times New Roman" w:hAnsi="Times New Roman" w:cs="Times New Roman"/>
                    <w:sz w:val="20"/>
                    <w:szCs w:val="20"/>
                    <w:rtl/>
                  </w:rPr>
                </w:pP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8738CA" w:rsidRDefault="00116C07" w:rsidP="005C684C">
                <w:pPr>
                  <w:bidi/>
                  <w:spacing w:after="0"/>
                  <w:jc w:val="center"/>
                  <w:rPr>
                    <w:rFonts w:ascii="Times New Roman" w:hAnsi="Times New Roman" w:cs="Times New Roman"/>
                    <w:b/>
                    <w:bCs/>
                    <w:rtl/>
                  </w:rPr>
                </w:pPr>
                <w:r w:rsidRPr="008738CA">
                  <w:rPr>
                    <w:rFonts w:ascii="Times New Roman" w:hAnsi="Times New Roman" w:cs="Times New Roman"/>
                    <w:b/>
                    <w:bCs/>
                  </w:rPr>
                  <w:t>8</w:t>
                </w:r>
                <w:r w:rsidR="005C684C">
                  <w:rPr>
                    <w:rFonts w:ascii="Times New Roman" w:hAnsi="Times New Roman" w:cs="Times New Roman"/>
                    <w:b/>
                    <w:bCs/>
                  </w:rPr>
                  <w:t>5</w:t>
                </w:r>
              </w:p>
            </w:tc>
            <w:tc>
              <w:tcPr>
                <w:tcW w:w="6237" w:type="dxa"/>
                <w:vAlign w:val="center"/>
              </w:tcPr>
              <w:p w:rsidR="00A523EA" w:rsidRPr="003122A3" w:rsidRDefault="001D74E3" w:rsidP="00540074">
                <w:pPr>
                  <w:spacing w:after="0" w:line="240" w:lineRule="auto"/>
                  <w:rPr>
                    <w:rFonts w:ascii="Times New Roman" w:hAnsi="Times New Roman" w:cs="Times New Roman"/>
                    <w:b/>
                    <w:bCs/>
                    <w:sz w:val="20"/>
                    <w:szCs w:val="20"/>
                    <w:rtl/>
                  </w:rPr>
                </w:pPr>
                <w:r w:rsidRPr="003122A3">
                  <w:rPr>
                    <w:rFonts w:ascii="Times New Roman" w:hAnsi="Times New Roman" w:cs="Times New Roman"/>
                    <w:b/>
                    <w:bCs/>
                    <w:sz w:val="20"/>
                    <w:szCs w:val="20"/>
                  </w:rPr>
                  <w:t>Early Childhood Development</w:t>
                </w:r>
              </w:p>
            </w:tc>
            <w:tc>
              <w:tcPr>
                <w:tcW w:w="1578" w:type="dxa"/>
              </w:tcPr>
              <w:p w:rsidR="00A523EA" w:rsidRPr="003122A3" w:rsidRDefault="00AF6454" w:rsidP="00540074">
                <w:pPr>
                  <w:spacing w:after="0" w:line="240" w:lineRule="auto"/>
                  <w:rPr>
                    <w:rFonts w:ascii="Times New Roman" w:hAnsi="Times New Roman" w:cs="Times New Roman"/>
                    <w:sz w:val="20"/>
                    <w:szCs w:val="20"/>
                    <w:rtl/>
                  </w:rPr>
                </w:pPr>
                <w:r w:rsidRPr="003122A3">
                  <w:rPr>
                    <w:rFonts w:ascii="Times New Roman" w:hAnsi="Times New Roman" w:cs="Times New Roman"/>
                    <w:sz w:val="20"/>
                    <w:szCs w:val="20"/>
                  </w:rPr>
                  <w:t>Chapter Eight</w:t>
                </w:r>
              </w:p>
            </w:tc>
          </w:tr>
          <w:tr w:rsidR="00A523EA" w:rsidRPr="003122A3" w:rsidTr="00FB380D">
            <w:trPr>
              <w:trHeight w:val="284"/>
              <w:jc w:val="center"/>
            </w:trPr>
            <w:tc>
              <w:tcPr>
                <w:tcW w:w="1250" w:type="dxa"/>
                <w:vAlign w:val="center"/>
              </w:tcPr>
              <w:p w:rsidR="00A523EA" w:rsidRPr="003122A3" w:rsidRDefault="00116C07" w:rsidP="005C684C">
                <w:pPr>
                  <w:bidi/>
                  <w:spacing w:after="0"/>
                  <w:jc w:val="center"/>
                  <w:rPr>
                    <w:rFonts w:ascii="Times New Roman" w:hAnsi="Times New Roman" w:cs="Times New Roman"/>
                    <w:rtl/>
                  </w:rPr>
                </w:pPr>
                <w:r>
                  <w:rPr>
                    <w:rFonts w:ascii="Times New Roman" w:hAnsi="Times New Roman" w:cs="Times New Roman"/>
                  </w:rPr>
                  <w:t>8</w:t>
                </w:r>
                <w:r w:rsidR="005C684C">
                  <w:rPr>
                    <w:rFonts w:ascii="Times New Roman" w:hAnsi="Times New Roman" w:cs="Times New Roman"/>
                  </w:rPr>
                  <w:t>5</w:t>
                </w:r>
              </w:p>
            </w:tc>
            <w:tc>
              <w:tcPr>
                <w:tcW w:w="6237" w:type="dxa"/>
                <w:vAlign w:val="center"/>
              </w:tcPr>
              <w:p w:rsidR="00A523EA" w:rsidRPr="003122A3" w:rsidRDefault="001D74E3"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8.1 Early Childhood Development Indicators</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A523EA" w:rsidRPr="003122A3" w:rsidTr="00FB380D">
            <w:trPr>
              <w:trHeight w:val="284"/>
              <w:jc w:val="center"/>
            </w:trPr>
            <w:tc>
              <w:tcPr>
                <w:tcW w:w="1250" w:type="dxa"/>
                <w:vAlign w:val="center"/>
              </w:tcPr>
              <w:p w:rsidR="00A523EA" w:rsidRPr="003122A3" w:rsidRDefault="00116C07" w:rsidP="005C684C">
                <w:pPr>
                  <w:bidi/>
                  <w:spacing w:after="0"/>
                  <w:jc w:val="center"/>
                  <w:rPr>
                    <w:rFonts w:ascii="Times New Roman" w:hAnsi="Times New Roman" w:cs="Times New Roman"/>
                    <w:rtl/>
                  </w:rPr>
                </w:pPr>
                <w:r>
                  <w:rPr>
                    <w:rFonts w:ascii="Times New Roman" w:hAnsi="Times New Roman" w:cs="Times New Roman"/>
                  </w:rPr>
                  <w:t>8</w:t>
                </w:r>
                <w:r w:rsidR="005C684C">
                  <w:rPr>
                    <w:rFonts w:ascii="Times New Roman" w:hAnsi="Times New Roman" w:cs="Times New Roman"/>
                  </w:rPr>
                  <w:t>7</w:t>
                </w:r>
              </w:p>
            </w:tc>
            <w:tc>
              <w:tcPr>
                <w:tcW w:w="6237" w:type="dxa"/>
                <w:vAlign w:val="center"/>
              </w:tcPr>
              <w:p w:rsidR="00A523EA" w:rsidRPr="003122A3" w:rsidRDefault="001D74E3"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8.2 Support Children for Learning</w:t>
                </w:r>
              </w:p>
            </w:tc>
            <w:tc>
              <w:tcPr>
                <w:tcW w:w="1578" w:type="dxa"/>
              </w:tcPr>
              <w:p w:rsidR="00A523EA" w:rsidRPr="003122A3" w:rsidRDefault="00A523EA" w:rsidP="00540074">
                <w:pPr>
                  <w:spacing w:after="0" w:line="240" w:lineRule="auto"/>
                  <w:rPr>
                    <w:rFonts w:ascii="Times New Roman" w:hAnsi="Times New Roman" w:cs="Times New Roman"/>
                    <w:sz w:val="20"/>
                    <w:szCs w:val="20"/>
                    <w:rtl/>
                  </w:rPr>
                </w:pPr>
              </w:p>
            </w:tc>
          </w:tr>
          <w:tr w:rsidR="001D74E3" w:rsidRPr="003122A3" w:rsidTr="00FB380D">
            <w:trPr>
              <w:trHeight w:val="284"/>
              <w:jc w:val="center"/>
            </w:trPr>
            <w:tc>
              <w:tcPr>
                <w:tcW w:w="1250" w:type="dxa"/>
                <w:vAlign w:val="center"/>
              </w:tcPr>
              <w:p w:rsidR="001D74E3" w:rsidRPr="003122A3" w:rsidRDefault="005C684C" w:rsidP="00050EBC">
                <w:pPr>
                  <w:bidi/>
                  <w:spacing w:after="0"/>
                  <w:jc w:val="center"/>
                  <w:rPr>
                    <w:rFonts w:ascii="Times New Roman" w:hAnsi="Times New Roman" w:cs="Times New Roman"/>
                    <w:rtl/>
                  </w:rPr>
                </w:pPr>
                <w:r>
                  <w:rPr>
                    <w:rFonts w:ascii="Times New Roman" w:hAnsi="Times New Roman" w:cs="Times New Roman"/>
                  </w:rPr>
                  <w:t>90</w:t>
                </w:r>
              </w:p>
            </w:tc>
            <w:tc>
              <w:tcPr>
                <w:tcW w:w="6237" w:type="dxa"/>
                <w:vAlign w:val="center"/>
              </w:tcPr>
              <w:p w:rsidR="001D74E3" w:rsidRPr="003122A3" w:rsidRDefault="001D74E3" w:rsidP="00540074">
                <w:pPr>
                  <w:spacing w:after="0" w:line="240" w:lineRule="auto"/>
                  <w:rPr>
                    <w:rFonts w:ascii="Times New Roman" w:hAnsi="Times New Roman" w:cs="Times New Roman"/>
                    <w:sz w:val="20"/>
                    <w:szCs w:val="20"/>
                  </w:rPr>
                </w:pPr>
                <w:r w:rsidRPr="003122A3">
                  <w:rPr>
                    <w:rFonts w:ascii="Times New Roman" w:hAnsi="Times New Roman" w:cs="Times New Roman"/>
                    <w:sz w:val="20"/>
                    <w:szCs w:val="20"/>
                  </w:rPr>
                  <w:t>8.3 Adequate Care</w:t>
                </w:r>
              </w:p>
            </w:tc>
            <w:tc>
              <w:tcPr>
                <w:tcW w:w="1578" w:type="dxa"/>
              </w:tcPr>
              <w:p w:rsidR="001D74E3" w:rsidRPr="003122A3" w:rsidRDefault="001D74E3" w:rsidP="00540074">
                <w:pPr>
                  <w:spacing w:after="0" w:line="240" w:lineRule="auto"/>
                  <w:rPr>
                    <w:rFonts w:ascii="Times New Roman" w:hAnsi="Times New Roman" w:cs="Times New Roman"/>
                    <w:sz w:val="20"/>
                    <w:szCs w:val="20"/>
                    <w:rtl/>
                  </w:rPr>
                </w:pPr>
              </w:p>
            </w:tc>
          </w:tr>
        </w:tbl>
        <w:p w:rsidR="00E2277F" w:rsidRPr="003122A3" w:rsidRDefault="00E2277F" w:rsidP="00540074">
          <w:pPr>
            <w:spacing w:after="0"/>
            <w:rPr>
              <w:rFonts w:ascii="Times New Roman" w:hAnsi="Times New Roman" w:cs="Times New Roman"/>
              <w:color w:val="FF0000"/>
              <w:sz w:val="24"/>
              <w:szCs w:val="24"/>
              <w:lang w:eastAsia="ar-SA"/>
            </w:rPr>
          </w:pPr>
        </w:p>
        <w:p w:rsidR="0061761B" w:rsidRPr="003122A3" w:rsidRDefault="0061761B" w:rsidP="008E657F">
          <w:pPr>
            <w:jc w:val="both"/>
            <w:rPr>
              <w:rFonts w:ascii="Times New Roman" w:hAnsi="Times New Roman" w:cs="Times New Roman"/>
              <w:b/>
              <w:bCs/>
              <w:color w:val="FF0000"/>
              <w:sz w:val="28"/>
              <w:szCs w:val="28"/>
            </w:rPr>
          </w:pPr>
          <w:r w:rsidRPr="003122A3">
            <w:rPr>
              <w:rFonts w:ascii="Times New Roman" w:hAnsi="Times New Roman" w:cs="Times New Roman"/>
              <w:b/>
              <w:bCs/>
              <w:color w:val="FF0000"/>
              <w:sz w:val="28"/>
              <w:szCs w:val="28"/>
              <w:rtl/>
            </w:rPr>
            <w:br w:type="page"/>
          </w:r>
        </w:p>
        <w:p w:rsidR="00C51171" w:rsidRPr="00540074" w:rsidRDefault="00C51171" w:rsidP="00C51171">
          <w:pPr>
            <w:jc w:val="center"/>
            <w:rPr>
              <w:rFonts w:ascii="Times New Roman" w:hAnsi="Times New Roman" w:cs="Times New Roman"/>
              <w:b/>
              <w:bCs/>
              <w:sz w:val="28"/>
              <w:szCs w:val="28"/>
            </w:rPr>
          </w:pPr>
          <w:r w:rsidRPr="00540074">
            <w:rPr>
              <w:rFonts w:ascii="Times New Roman" w:hAnsi="Times New Roman" w:cs="Times New Roman"/>
              <w:b/>
              <w:bCs/>
              <w:sz w:val="28"/>
              <w:szCs w:val="28"/>
            </w:rPr>
            <w:t>List of Figures</w:t>
          </w:r>
        </w:p>
        <w:tbl>
          <w:tblPr>
            <w:bidiVisual/>
            <w:tblW w:w="0" w:type="auto"/>
            <w:jc w:val="center"/>
            <w:tblLayout w:type="fixed"/>
            <w:tblLook w:val="0000"/>
          </w:tblPr>
          <w:tblGrid>
            <w:gridCol w:w="1250"/>
            <w:gridCol w:w="6237"/>
            <w:gridCol w:w="1578"/>
          </w:tblGrid>
          <w:tr w:rsidR="00C51171" w:rsidRPr="00540074" w:rsidTr="006D7550">
            <w:trPr>
              <w:trHeight w:val="428"/>
              <w:tblHeader/>
              <w:jc w:val="center"/>
            </w:trPr>
            <w:tc>
              <w:tcPr>
                <w:tcW w:w="1250" w:type="dxa"/>
                <w:tcBorders>
                  <w:top w:val="nil"/>
                  <w:left w:val="nil"/>
                  <w:bottom w:val="nil"/>
                  <w:right w:val="nil"/>
                </w:tcBorders>
                <w:vAlign w:val="bottom"/>
              </w:tcPr>
              <w:p w:rsidR="00C51171" w:rsidRPr="00540074" w:rsidRDefault="00DD1CB3" w:rsidP="006D7550">
                <w:pPr>
                  <w:bidi/>
                  <w:jc w:val="center"/>
                  <w:rPr>
                    <w:rFonts w:ascii="Times New Roman" w:hAnsi="Times New Roman" w:cs="Times New Roman"/>
                    <w:b/>
                    <w:bCs/>
                    <w:rtl/>
                  </w:rPr>
                </w:pPr>
                <w:r>
                  <w:rPr>
                    <w:rFonts w:ascii="Times New Roman" w:hAnsi="Times New Roman" w:cs="Times New Roman"/>
                    <w:b/>
                    <w:bCs/>
                    <w:sz w:val="24"/>
                    <w:szCs w:val="24"/>
                  </w:rPr>
                  <w:t>P</w:t>
                </w:r>
                <w:r w:rsidR="00C51171" w:rsidRPr="00540074">
                  <w:rPr>
                    <w:rFonts w:ascii="Times New Roman" w:hAnsi="Times New Roman" w:cs="Times New Roman"/>
                    <w:b/>
                    <w:bCs/>
                    <w:sz w:val="24"/>
                    <w:szCs w:val="24"/>
                  </w:rPr>
                  <w:t>age</w:t>
                </w:r>
              </w:p>
            </w:tc>
            <w:tc>
              <w:tcPr>
                <w:tcW w:w="6237" w:type="dxa"/>
                <w:tcBorders>
                  <w:top w:val="nil"/>
                  <w:left w:val="nil"/>
                  <w:bottom w:val="nil"/>
                  <w:right w:val="nil"/>
                </w:tcBorders>
              </w:tcPr>
              <w:p w:rsidR="00C51171" w:rsidRPr="00540074" w:rsidRDefault="00C51171" w:rsidP="006D7550">
                <w:pPr>
                  <w:bidi/>
                  <w:jc w:val="center"/>
                  <w:rPr>
                    <w:rFonts w:ascii="Times New Roman" w:hAnsi="Times New Roman" w:cs="Times New Roman"/>
                    <w:b/>
                    <w:bCs/>
                    <w:rtl/>
                  </w:rPr>
                </w:pPr>
              </w:p>
            </w:tc>
            <w:tc>
              <w:tcPr>
                <w:tcW w:w="1578" w:type="dxa"/>
                <w:tcBorders>
                  <w:top w:val="nil"/>
                  <w:left w:val="nil"/>
                  <w:bottom w:val="nil"/>
                  <w:right w:val="nil"/>
                </w:tcBorders>
              </w:tcPr>
              <w:p w:rsidR="00C51171" w:rsidRPr="00540074" w:rsidRDefault="008F4269" w:rsidP="006D7550">
                <w:pPr>
                  <w:bidi/>
                  <w:jc w:val="center"/>
                  <w:rPr>
                    <w:rFonts w:ascii="Times New Roman" w:hAnsi="Times New Roman" w:cs="Times New Roman"/>
                    <w:b/>
                    <w:bCs/>
                    <w:sz w:val="24"/>
                    <w:szCs w:val="24"/>
                    <w:rtl/>
                  </w:rPr>
                </w:pPr>
                <w:r w:rsidRPr="00540074">
                  <w:rPr>
                    <w:rFonts w:ascii="Times New Roman" w:hAnsi="Times New Roman" w:cs="Times New Roman"/>
                    <w:b/>
                    <w:bCs/>
                    <w:sz w:val="24"/>
                    <w:szCs w:val="24"/>
                  </w:rPr>
                  <w:t>Figure</w:t>
                </w:r>
              </w:p>
            </w:tc>
          </w:tr>
          <w:tr w:rsidR="00C51171" w:rsidRPr="00540074" w:rsidTr="006D7550">
            <w:trPr>
              <w:trHeight w:hRule="exact" w:val="113"/>
              <w:jc w:val="center"/>
            </w:trPr>
            <w:tc>
              <w:tcPr>
                <w:tcW w:w="1250" w:type="dxa"/>
                <w:tcBorders>
                  <w:top w:val="nil"/>
                  <w:left w:val="nil"/>
                  <w:bottom w:val="nil"/>
                  <w:right w:val="nil"/>
                </w:tcBorders>
                <w:vAlign w:val="center"/>
              </w:tcPr>
              <w:p w:rsidR="00C51171" w:rsidRPr="00540074" w:rsidRDefault="00C51171" w:rsidP="006D7550">
                <w:pPr>
                  <w:bidi/>
                  <w:rPr>
                    <w:rFonts w:ascii="Times New Roman" w:hAnsi="Times New Roman" w:cs="Times New Roman"/>
                    <w:rtl/>
                  </w:rPr>
                </w:pPr>
              </w:p>
            </w:tc>
            <w:tc>
              <w:tcPr>
                <w:tcW w:w="6237" w:type="dxa"/>
                <w:tcBorders>
                  <w:top w:val="nil"/>
                  <w:left w:val="nil"/>
                  <w:bottom w:val="nil"/>
                  <w:right w:val="nil"/>
                </w:tcBorders>
              </w:tcPr>
              <w:p w:rsidR="00C51171" w:rsidRPr="00540074" w:rsidRDefault="00C51171" w:rsidP="006D7550">
                <w:pPr>
                  <w:pStyle w:val="Heading5"/>
                  <w:keepNext w:val="0"/>
                  <w:jc w:val="lowKashida"/>
                  <w:rPr>
                    <w:sz w:val="24"/>
                    <w:szCs w:val="24"/>
                    <w:rtl/>
                  </w:rPr>
                </w:pPr>
              </w:p>
            </w:tc>
            <w:tc>
              <w:tcPr>
                <w:tcW w:w="1578" w:type="dxa"/>
                <w:tcBorders>
                  <w:top w:val="nil"/>
                  <w:left w:val="nil"/>
                  <w:bottom w:val="nil"/>
                  <w:right w:val="nil"/>
                </w:tcBorders>
                <w:vAlign w:val="center"/>
              </w:tcPr>
              <w:p w:rsidR="00C51171" w:rsidRPr="00540074" w:rsidRDefault="00C51171" w:rsidP="006D7550">
                <w:pPr>
                  <w:pStyle w:val="Heading2"/>
                  <w:keepNext w:val="0"/>
                  <w:ind w:firstLine="241"/>
                  <w:rPr>
                    <w:rFonts w:ascii="Times New Roman" w:hAnsi="Times New Roman" w:cs="Times New Roman"/>
                    <w:sz w:val="24"/>
                    <w:szCs w:val="24"/>
                  </w:rPr>
                </w:pPr>
              </w:p>
            </w:tc>
          </w:tr>
          <w:tr w:rsidR="00C51171" w:rsidRPr="00540074" w:rsidTr="00AE3692">
            <w:trPr>
              <w:trHeight w:val="284"/>
              <w:jc w:val="center"/>
            </w:trPr>
            <w:tc>
              <w:tcPr>
                <w:tcW w:w="1250" w:type="dxa"/>
                <w:tcBorders>
                  <w:top w:val="nil"/>
                  <w:left w:val="nil"/>
                  <w:bottom w:val="nil"/>
                  <w:right w:val="nil"/>
                </w:tcBorders>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29</w:t>
                </w:r>
              </w:p>
            </w:tc>
            <w:tc>
              <w:tcPr>
                <w:tcW w:w="6237" w:type="dxa"/>
                <w:tcBorders>
                  <w:top w:val="nil"/>
                  <w:left w:val="nil"/>
                  <w:bottom w:val="nil"/>
                  <w:right w:val="nil"/>
                </w:tcBorders>
              </w:tcPr>
              <w:p w:rsidR="00C51171" w:rsidRPr="00540074" w:rsidRDefault="00A87D4C" w:rsidP="00AE3692">
                <w:pPr>
                  <w:pStyle w:val="TOC2"/>
                  <w:rPr>
                    <w:sz w:val="20"/>
                    <w:szCs w:val="18"/>
                    <w:rtl/>
                  </w:rPr>
                </w:pPr>
                <w:r w:rsidRPr="00540074">
                  <w:rPr>
                    <w:sz w:val="20"/>
                    <w:szCs w:val="18"/>
                  </w:rPr>
                  <w:t>Number of Palestinians Deprived of Citizenship, 2005-2012</w:t>
                </w:r>
              </w:p>
            </w:tc>
            <w:tc>
              <w:tcPr>
                <w:tcW w:w="1578" w:type="dxa"/>
                <w:tcBorders>
                  <w:top w:val="nil"/>
                  <w:left w:val="nil"/>
                  <w:bottom w:val="nil"/>
                  <w:right w:val="nil"/>
                </w:tcBorders>
              </w:tcPr>
              <w:p w:rsidR="00C51171" w:rsidRPr="00540074" w:rsidRDefault="00C51171" w:rsidP="00AE3692">
                <w:pPr>
                  <w:spacing w:after="100" w:afterAutospacing="1"/>
                  <w:jc w:val="center"/>
                  <w:rPr>
                    <w:rFonts w:ascii="Times New Roman" w:hAnsi="Times New Roman" w:cs="Times New Roman"/>
                    <w:sz w:val="20"/>
                    <w:szCs w:val="20"/>
                  </w:rPr>
                </w:pPr>
                <w:r w:rsidRPr="00540074">
                  <w:rPr>
                    <w:rFonts w:ascii="Times New Roman" w:hAnsi="Times New Roman" w:cs="Times New Roman"/>
                    <w:b/>
                    <w:bCs/>
                    <w:sz w:val="20"/>
                    <w:szCs w:val="20"/>
                  </w:rPr>
                  <w:t>Figure 1</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tcBorders>
                  <w:top w:val="nil"/>
                  <w:left w:val="nil"/>
                  <w:bottom w:val="nil"/>
                  <w:right w:val="nil"/>
                </w:tcBorders>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33</w:t>
                </w:r>
              </w:p>
            </w:tc>
            <w:tc>
              <w:tcPr>
                <w:tcW w:w="6237" w:type="dxa"/>
                <w:tcBorders>
                  <w:top w:val="nil"/>
                  <w:left w:val="nil"/>
                  <w:bottom w:val="nil"/>
                  <w:right w:val="nil"/>
                </w:tcBorders>
                <w:vAlign w:val="center"/>
              </w:tcPr>
              <w:p w:rsidR="00C51171" w:rsidRPr="00540074" w:rsidRDefault="00A87D4C" w:rsidP="00540074">
                <w:pPr>
                  <w:pStyle w:val="TOC2"/>
                  <w:jc w:val="both"/>
                  <w:rPr>
                    <w:sz w:val="20"/>
                    <w:szCs w:val="18"/>
                    <w:rtl/>
                  </w:rPr>
                </w:pPr>
                <w:r w:rsidRPr="00540074">
                  <w:rPr>
                    <w:sz w:val="20"/>
                    <w:szCs w:val="18"/>
                  </w:rPr>
                  <w:t>Percentage of  Spending on Education Compared to Cost per Student in Selected School Years</w:t>
                </w:r>
              </w:p>
            </w:tc>
            <w:tc>
              <w:tcPr>
                <w:tcW w:w="1578" w:type="dxa"/>
                <w:tcBorders>
                  <w:top w:val="nil"/>
                  <w:left w:val="nil"/>
                  <w:bottom w:val="nil"/>
                  <w:right w:val="nil"/>
                </w:tcBorders>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w:t>
                </w:r>
                <w:r w:rsidR="00CB0068">
                  <w:rPr>
                    <w:rFonts w:ascii="Times New Roman" w:hAnsi="Times New Roman" w:cs="Times New Roman"/>
                    <w:b/>
                    <w:bCs/>
                    <w:sz w:val="20"/>
                    <w:szCs w:val="20"/>
                  </w:rPr>
                  <w:t>:</w:t>
                </w:r>
              </w:p>
            </w:tc>
          </w:tr>
          <w:tr w:rsidR="00C51171" w:rsidRPr="00540074" w:rsidTr="00111E6D">
            <w:trPr>
              <w:trHeight w:val="284"/>
              <w:jc w:val="center"/>
            </w:trPr>
            <w:tc>
              <w:tcPr>
                <w:tcW w:w="1250" w:type="dxa"/>
                <w:tcBorders>
                  <w:top w:val="nil"/>
                  <w:left w:val="nil"/>
                  <w:bottom w:val="nil"/>
                  <w:right w:val="nil"/>
                </w:tcBorders>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34</w:t>
                </w:r>
              </w:p>
            </w:tc>
            <w:tc>
              <w:tcPr>
                <w:tcW w:w="6237" w:type="dxa"/>
                <w:tcBorders>
                  <w:top w:val="nil"/>
                  <w:left w:val="nil"/>
                  <w:bottom w:val="nil"/>
                  <w:right w:val="nil"/>
                </w:tcBorders>
                <w:vAlign w:val="center"/>
              </w:tcPr>
              <w:p w:rsidR="00C51171" w:rsidRPr="00540074" w:rsidRDefault="00A87D4C" w:rsidP="00540074">
                <w:pPr>
                  <w:pStyle w:val="TOC2"/>
                  <w:jc w:val="both"/>
                  <w:rPr>
                    <w:sz w:val="20"/>
                    <w:szCs w:val="18"/>
                    <w:rtl/>
                  </w:rPr>
                </w:pPr>
                <w:r w:rsidRPr="00540074">
                  <w:rPr>
                    <w:sz w:val="20"/>
                    <w:szCs w:val="18"/>
                  </w:rPr>
                  <w:t>Percentage of Children Aged 36-59 Months Enrolled in some form of Early Childhood Education Programs in Palestine by Various Background Characteristics, 2014</w:t>
                </w:r>
              </w:p>
            </w:tc>
            <w:tc>
              <w:tcPr>
                <w:tcW w:w="1578" w:type="dxa"/>
                <w:tcBorders>
                  <w:top w:val="nil"/>
                  <w:left w:val="nil"/>
                  <w:bottom w:val="nil"/>
                  <w:right w:val="nil"/>
                </w:tcBorders>
              </w:tcPr>
              <w:p w:rsidR="00C51171" w:rsidRPr="00540074" w:rsidRDefault="00C51171" w:rsidP="00111E6D">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3</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tcBorders>
                  <w:top w:val="nil"/>
                  <w:left w:val="nil"/>
                  <w:bottom w:val="nil"/>
                  <w:right w:val="nil"/>
                </w:tcBorders>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35</w:t>
                </w:r>
              </w:p>
            </w:tc>
            <w:tc>
              <w:tcPr>
                <w:tcW w:w="6237" w:type="dxa"/>
                <w:tcBorders>
                  <w:top w:val="nil"/>
                  <w:left w:val="nil"/>
                  <w:bottom w:val="nil"/>
                  <w:right w:val="nil"/>
                </w:tcBorders>
                <w:vAlign w:val="center"/>
              </w:tcPr>
              <w:p w:rsidR="00C51171" w:rsidRPr="00540074" w:rsidRDefault="000E059D" w:rsidP="00540074">
                <w:pPr>
                  <w:pStyle w:val="TOC2"/>
                  <w:jc w:val="both"/>
                  <w:rPr>
                    <w:sz w:val="20"/>
                    <w:rtl/>
                  </w:rPr>
                </w:pPr>
                <w:r w:rsidRPr="00540074">
                  <w:rPr>
                    <w:sz w:val="20"/>
                  </w:rPr>
                  <w:t>Percentage of Children Aged 36-59 Months Enrolled in some form of Early Childhood Education Programs in Palestine by Wealth Index 2010</w:t>
                </w:r>
              </w:p>
            </w:tc>
            <w:tc>
              <w:tcPr>
                <w:tcW w:w="1578" w:type="dxa"/>
                <w:tcBorders>
                  <w:top w:val="nil"/>
                  <w:left w:val="nil"/>
                  <w:bottom w:val="nil"/>
                  <w:right w:val="nil"/>
                </w:tcBorders>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4</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tcBorders>
                  <w:top w:val="nil"/>
                  <w:left w:val="nil"/>
                  <w:bottom w:val="nil"/>
                  <w:right w:val="nil"/>
                </w:tcBorders>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35</w:t>
                </w:r>
              </w:p>
            </w:tc>
            <w:tc>
              <w:tcPr>
                <w:tcW w:w="6237" w:type="dxa"/>
                <w:tcBorders>
                  <w:top w:val="nil"/>
                  <w:left w:val="nil"/>
                  <w:bottom w:val="nil"/>
                  <w:right w:val="nil"/>
                </w:tcBorders>
                <w:vAlign w:val="center"/>
              </w:tcPr>
              <w:p w:rsidR="00C51171" w:rsidRPr="00540074" w:rsidRDefault="00E51A9E" w:rsidP="00E51A9E">
                <w:pPr>
                  <w:pStyle w:val="TOC2"/>
                  <w:jc w:val="both"/>
                  <w:rPr>
                    <w:sz w:val="20"/>
                    <w:rtl/>
                  </w:rPr>
                </w:pPr>
                <w:r w:rsidRPr="00E51A9E">
                  <w:rPr>
                    <w:sz w:val="20"/>
                  </w:rPr>
                  <w:t>Enrollment Rates in Early Childhood Education (4-5 years) by Sex for Selected Academic Years</w:t>
                </w:r>
              </w:p>
            </w:tc>
            <w:tc>
              <w:tcPr>
                <w:tcW w:w="1578" w:type="dxa"/>
                <w:tcBorders>
                  <w:top w:val="nil"/>
                  <w:left w:val="nil"/>
                  <w:bottom w:val="nil"/>
                  <w:right w:val="nil"/>
                </w:tcBorders>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5</w:t>
                </w:r>
                <w:r w:rsidR="00CB0068">
                  <w:rPr>
                    <w:rFonts w:ascii="Times New Roman" w:hAnsi="Times New Roman" w:cs="Times New Roman"/>
                    <w:b/>
                    <w:bCs/>
                    <w:sz w:val="20"/>
                    <w:szCs w:val="20"/>
                  </w:rPr>
                  <w:t>:</w:t>
                </w:r>
              </w:p>
            </w:tc>
          </w:tr>
          <w:tr w:rsidR="00C51171" w:rsidRPr="00540074" w:rsidTr="00CB76CB">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36</w:t>
                </w:r>
              </w:p>
            </w:tc>
            <w:tc>
              <w:tcPr>
                <w:tcW w:w="6237" w:type="dxa"/>
              </w:tcPr>
              <w:p w:rsidR="00C51171" w:rsidRPr="00540074" w:rsidRDefault="00F57AE3" w:rsidP="00CB76CB">
                <w:pPr>
                  <w:pStyle w:val="TOC2"/>
                  <w:rPr>
                    <w:sz w:val="20"/>
                  </w:rPr>
                </w:pPr>
                <w:r w:rsidRPr="00540074">
                  <w:rPr>
                    <w:sz w:val="20"/>
                  </w:rPr>
                  <w:t xml:space="preserve">Enrollment Rates in Kindergartens in Selected </w:t>
                </w:r>
                <w:r w:rsidR="00A730A0">
                  <w:rPr>
                    <w:szCs w:val="24"/>
                  </w:rPr>
                  <w:t>Academic</w:t>
                </w:r>
                <w:r w:rsidRPr="00540074">
                  <w:rPr>
                    <w:sz w:val="20"/>
                  </w:rPr>
                  <w:t xml:space="preserve"> Years by Region</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6</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37</w:t>
                </w:r>
              </w:p>
            </w:tc>
            <w:tc>
              <w:tcPr>
                <w:tcW w:w="6237" w:type="dxa"/>
                <w:vAlign w:val="center"/>
              </w:tcPr>
              <w:p w:rsidR="00C51171" w:rsidRPr="00540074" w:rsidRDefault="00F57AE3" w:rsidP="00540074">
                <w:pPr>
                  <w:pStyle w:val="TOC2"/>
                  <w:jc w:val="both"/>
                  <w:rPr>
                    <w:sz w:val="20"/>
                    <w:rtl/>
                  </w:rPr>
                </w:pPr>
                <w:r w:rsidRPr="00540074">
                  <w:rPr>
                    <w:sz w:val="20"/>
                  </w:rPr>
                  <w:t>Enrollment Rates by Stage, Region and Gender for the Academic Years (2007/2008 – 2013/2014)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7</w:t>
                </w:r>
                <w:r w:rsidR="00CB0068">
                  <w:rPr>
                    <w:rFonts w:ascii="Times New Roman" w:hAnsi="Times New Roman" w:cs="Times New Roman"/>
                    <w:b/>
                    <w:bCs/>
                    <w:sz w:val="20"/>
                    <w:szCs w:val="20"/>
                  </w:rPr>
                  <w:t>:</w:t>
                </w:r>
              </w:p>
            </w:tc>
          </w:tr>
          <w:tr w:rsidR="00C51171" w:rsidRPr="00540074" w:rsidTr="00CB76CB">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38</w:t>
                </w:r>
              </w:p>
            </w:tc>
            <w:tc>
              <w:tcPr>
                <w:tcW w:w="6237" w:type="dxa"/>
              </w:tcPr>
              <w:p w:rsidR="00C51171" w:rsidRPr="00540074" w:rsidRDefault="00F57AE3" w:rsidP="00CB76CB">
                <w:pPr>
                  <w:pStyle w:val="TOC2"/>
                  <w:rPr>
                    <w:sz w:val="20"/>
                    <w:rtl/>
                  </w:rPr>
                </w:pPr>
                <w:r w:rsidRPr="00540074">
                  <w:rPr>
                    <w:sz w:val="20"/>
                  </w:rPr>
                  <w:t>Dropout Rates by Gender and School Stage for 2012/2013</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8</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38</w:t>
                </w:r>
              </w:p>
            </w:tc>
            <w:tc>
              <w:tcPr>
                <w:tcW w:w="6237" w:type="dxa"/>
                <w:vAlign w:val="center"/>
              </w:tcPr>
              <w:p w:rsidR="00C51171" w:rsidRPr="00540074" w:rsidRDefault="00F57AE3" w:rsidP="00540074">
                <w:pPr>
                  <w:pStyle w:val="TOC2"/>
                  <w:jc w:val="both"/>
                  <w:rPr>
                    <w:sz w:val="20"/>
                    <w:rtl/>
                  </w:rPr>
                </w:pPr>
                <w:r w:rsidRPr="00540074">
                  <w:rPr>
                    <w:sz w:val="20"/>
                  </w:rPr>
                  <w:t>Dropout Rates in Schools of West Bank and Area C Schools, 2009/2010 and 2010/2011</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9</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39</w:t>
                </w:r>
              </w:p>
            </w:tc>
            <w:tc>
              <w:tcPr>
                <w:tcW w:w="6237" w:type="dxa"/>
                <w:vAlign w:val="center"/>
              </w:tcPr>
              <w:p w:rsidR="00C51171" w:rsidRPr="00540074" w:rsidRDefault="00F57AE3" w:rsidP="00540074">
                <w:pPr>
                  <w:pStyle w:val="TOC2"/>
                  <w:jc w:val="both"/>
                  <w:rPr>
                    <w:sz w:val="20"/>
                  </w:rPr>
                </w:pPr>
                <w:r w:rsidRPr="00540074">
                  <w:rPr>
                    <w:sz w:val="20"/>
                  </w:rPr>
                  <w:t>Academic Performance of Fourth Grade Students in National Examinations for Selected School Years</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10</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39</w:t>
                </w:r>
              </w:p>
            </w:tc>
            <w:tc>
              <w:tcPr>
                <w:tcW w:w="6237" w:type="dxa"/>
                <w:vAlign w:val="center"/>
              </w:tcPr>
              <w:p w:rsidR="00C51171" w:rsidRPr="00540074" w:rsidRDefault="00F57AE3" w:rsidP="00540074">
                <w:pPr>
                  <w:pStyle w:val="TOC2"/>
                  <w:jc w:val="both"/>
                  <w:rPr>
                    <w:sz w:val="20"/>
                    <w:rtl/>
                  </w:rPr>
                </w:pPr>
                <w:r w:rsidRPr="00540074">
                  <w:rPr>
                    <w:sz w:val="20"/>
                  </w:rPr>
                  <w:t>Academic Performance of Tenth Grade Students in National Examinations for Selected School Years</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1</w:t>
                </w:r>
                <w:r w:rsidRPr="00540074">
                  <w:rPr>
                    <w:rFonts w:ascii="Times New Roman" w:hAnsi="Times New Roman" w:cs="Times New Roman"/>
                    <w:b/>
                    <w:bCs/>
                    <w:sz w:val="20"/>
                    <w:szCs w:val="20"/>
                  </w:rPr>
                  <w:t>1</w:t>
                </w:r>
                <w:r w:rsidR="00CB0068">
                  <w:rPr>
                    <w:rFonts w:ascii="Times New Roman" w:hAnsi="Times New Roman" w:cs="Times New Roman"/>
                    <w:b/>
                    <w:bCs/>
                    <w:sz w:val="20"/>
                    <w:szCs w:val="20"/>
                  </w:rPr>
                  <w:t>:</w:t>
                </w:r>
              </w:p>
            </w:tc>
          </w:tr>
          <w:tr w:rsidR="00C51171" w:rsidRPr="00540074" w:rsidTr="00CB76CB">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40</w:t>
                </w:r>
              </w:p>
            </w:tc>
            <w:tc>
              <w:tcPr>
                <w:tcW w:w="6237" w:type="dxa"/>
              </w:tcPr>
              <w:p w:rsidR="00C51171" w:rsidRPr="00540074" w:rsidRDefault="00F57AE3" w:rsidP="00CB76CB">
                <w:pPr>
                  <w:pStyle w:val="TOC2"/>
                  <w:rPr>
                    <w:sz w:val="20"/>
                    <w:rtl/>
                  </w:rPr>
                </w:pPr>
                <w:r w:rsidRPr="00540074">
                  <w:rPr>
                    <w:sz w:val="20"/>
                  </w:rPr>
                  <w:t>Percentage of Qualified Teachers by Gender, 2009-2011</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1</w:t>
                </w:r>
                <w:r w:rsidR="00F47521" w:rsidRPr="00540074">
                  <w:rPr>
                    <w:rFonts w:ascii="Times New Roman" w:hAnsi="Times New Roman" w:cs="Times New Roman"/>
                    <w:b/>
                    <w:bCs/>
                    <w:sz w:val="20"/>
                    <w:szCs w:val="20"/>
                  </w:rPr>
                  <w:t>2</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4</w:t>
                </w:r>
                <w:r w:rsidR="007266BC">
                  <w:rPr>
                    <w:rFonts w:ascii="Times New Roman" w:hAnsi="Times New Roman" w:cs="Times New Roman"/>
                  </w:rPr>
                  <w:t>1</w:t>
                </w:r>
              </w:p>
            </w:tc>
            <w:tc>
              <w:tcPr>
                <w:tcW w:w="6237" w:type="dxa"/>
                <w:vAlign w:val="center"/>
              </w:tcPr>
              <w:p w:rsidR="00C51171" w:rsidRPr="00540074" w:rsidRDefault="00F57AE3" w:rsidP="00540074">
                <w:pPr>
                  <w:pStyle w:val="TOC2"/>
                  <w:jc w:val="both"/>
                  <w:rPr>
                    <w:sz w:val="20"/>
                  </w:rPr>
                </w:pPr>
                <w:r w:rsidRPr="00540074">
                  <w:rPr>
                    <w:sz w:val="20"/>
                  </w:rPr>
                  <w:t>Classroom Density by Region, Academic Stage and Supervisory Authority for Selected School Years</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1</w:t>
                </w:r>
                <w:r w:rsidR="00F47521" w:rsidRPr="00540074">
                  <w:rPr>
                    <w:rFonts w:ascii="Times New Roman" w:hAnsi="Times New Roman" w:cs="Times New Roman"/>
                    <w:b/>
                    <w:bCs/>
                    <w:sz w:val="20"/>
                    <w:szCs w:val="20"/>
                  </w:rPr>
                  <w:t>3</w:t>
                </w:r>
                <w:r w:rsidR="00CB0068">
                  <w:rPr>
                    <w:rFonts w:ascii="Times New Roman" w:hAnsi="Times New Roman" w:cs="Times New Roman"/>
                    <w:b/>
                    <w:bCs/>
                    <w:sz w:val="20"/>
                    <w:szCs w:val="20"/>
                  </w:rPr>
                  <w:t>:</w:t>
                </w:r>
              </w:p>
            </w:tc>
          </w:tr>
          <w:tr w:rsidR="00C51171" w:rsidRPr="00540074" w:rsidTr="00CB76CB">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4</w:t>
                </w:r>
                <w:r w:rsidR="007266BC">
                  <w:rPr>
                    <w:rFonts w:ascii="Times New Roman" w:hAnsi="Times New Roman" w:cs="Times New Roman"/>
                  </w:rPr>
                  <w:t>8</w:t>
                </w:r>
              </w:p>
            </w:tc>
            <w:tc>
              <w:tcPr>
                <w:tcW w:w="6237" w:type="dxa"/>
              </w:tcPr>
              <w:p w:rsidR="00C51171" w:rsidRPr="00540074" w:rsidRDefault="00F57AE3" w:rsidP="00CB76CB">
                <w:pPr>
                  <w:pStyle w:val="TOC2"/>
                  <w:rPr>
                    <w:sz w:val="20"/>
                  </w:rPr>
                </w:pPr>
                <w:r w:rsidRPr="00540074">
                  <w:rPr>
                    <w:sz w:val="20"/>
                  </w:rPr>
                  <w:t>Percentage of Women who Received Health Care During Pregnancy, 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1</w:t>
                </w:r>
                <w:r w:rsidR="00F47521" w:rsidRPr="00540074">
                  <w:rPr>
                    <w:rFonts w:ascii="Times New Roman" w:hAnsi="Times New Roman" w:cs="Times New Roman"/>
                    <w:b/>
                    <w:bCs/>
                    <w:sz w:val="20"/>
                    <w:szCs w:val="20"/>
                  </w:rPr>
                  <w:t>4</w:t>
                </w:r>
                <w:r w:rsidR="00CB0068">
                  <w:rPr>
                    <w:rFonts w:ascii="Times New Roman" w:hAnsi="Times New Roman" w:cs="Times New Roman"/>
                    <w:b/>
                    <w:bCs/>
                    <w:sz w:val="20"/>
                    <w:szCs w:val="20"/>
                  </w:rPr>
                  <w:t>:</w:t>
                </w:r>
              </w:p>
            </w:tc>
          </w:tr>
          <w:tr w:rsidR="00C51171" w:rsidRPr="00540074" w:rsidTr="00CB76CB">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48</w:t>
                </w:r>
              </w:p>
            </w:tc>
            <w:tc>
              <w:tcPr>
                <w:tcW w:w="6237" w:type="dxa"/>
              </w:tcPr>
              <w:p w:rsidR="00C51171" w:rsidRPr="00540074" w:rsidRDefault="00F57AE3" w:rsidP="00CB76CB">
                <w:pPr>
                  <w:pStyle w:val="TOC2"/>
                  <w:rPr>
                    <w:sz w:val="20"/>
                  </w:rPr>
                </w:pPr>
                <w:r w:rsidRPr="00540074">
                  <w:rPr>
                    <w:sz w:val="20"/>
                  </w:rPr>
                  <w:t>Infant Mortality per Region in Palestine in Selected Years</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1</w:t>
                </w:r>
                <w:r w:rsidR="00F47521" w:rsidRPr="00540074">
                  <w:rPr>
                    <w:rFonts w:ascii="Times New Roman" w:hAnsi="Times New Roman" w:cs="Times New Roman"/>
                    <w:b/>
                    <w:bCs/>
                    <w:sz w:val="20"/>
                    <w:szCs w:val="20"/>
                  </w:rPr>
                  <w:t>5</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4</w:t>
                </w:r>
                <w:r w:rsidR="007266BC">
                  <w:rPr>
                    <w:rFonts w:ascii="Times New Roman" w:hAnsi="Times New Roman" w:cs="Times New Roman"/>
                  </w:rPr>
                  <w:t>9</w:t>
                </w:r>
              </w:p>
            </w:tc>
            <w:tc>
              <w:tcPr>
                <w:tcW w:w="6237" w:type="dxa"/>
                <w:vAlign w:val="center"/>
              </w:tcPr>
              <w:p w:rsidR="00C51171" w:rsidRPr="00540074" w:rsidRDefault="00F57AE3" w:rsidP="00540074">
                <w:pPr>
                  <w:pStyle w:val="TOC2"/>
                  <w:jc w:val="both"/>
                  <w:rPr>
                    <w:sz w:val="20"/>
                  </w:rPr>
                </w:pPr>
                <w:r w:rsidRPr="00540074">
                  <w:rPr>
                    <w:sz w:val="20"/>
                  </w:rPr>
                  <w:t>Mortality of Children Below Five Years by Region in Palestine in Selected Years</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1</w:t>
                </w:r>
                <w:r w:rsidR="00F47521" w:rsidRPr="00540074">
                  <w:rPr>
                    <w:rFonts w:ascii="Times New Roman" w:hAnsi="Times New Roman" w:cs="Times New Roman"/>
                    <w:b/>
                    <w:bCs/>
                    <w:sz w:val="20"/>
                    <w:szCs w:val="20"/>
                  </w:rPr>
                  <w:t>6</w:t>
                </w:r>
                <w:r w:rsidR="00CB0068">
                  <w:rPr>
                    <w:rFonts w:ascii="Times New Roman" w:hAnsi="Times New Roman" w:cs="Times New Roman"/>
                    <w:b/>
                    <w:bCs/>
                    <w:sz w:val="20"/>
                    <w:szCs w:val="20"/>
                  </w:rPr>
                  <w:t>:</w:t>
                </w:r>
              </w:p>
            </w:tc>
          </w:tr>
          <w:tr w:rsidR="00C51171" w:rsidRPr="00540074" w:rsidTr="00CB76CB">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50</w:t>
                </w:r>
              </w:p>
            </w:tc>
            <w:tc>
              <w:tcPr>
                <w:tcW w:w="6237" w:type="dxa"/>
              </w:tcPr>
              <w:p w:rsidR="00C51171" w:rsidRPr="00540074" w:rsidRDefault="00F57AE3" w:rsidP="00CB76CB">
                <w:pPr>
                  <w:pStyle w:val="TOC2"/>
                  <w:rPr>
                    <w:sz w:val="20"/>
                  </w:rPr>
                </w:pPr>
                <w:r w:rsidRPr="00540074">
                  <w:rPr>
                    <w:sz w:val="20"/>
                  </w:rPr>
                  <w:t>Number of Injuries in Reported Accidents in West Bank by Year</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1</w:t>
                </w:r>
                <w:r w:rsidR="00F47521" w:rsidRPr="00540074">
                  <w:rPr>
                    <w:rFonts w:ascii="Times New Roman" w:hAnsi="Times New Roman" w:cs="Times New Roman"/>
                    <w:b/>
                    <w:bCs/>
                    <w:sz w:val="20"/>
                    <w:szCs w:val="20"/>
                  </w:rPr>
                  <w:t>7</w:t>
                </w:r>
                <w:r w:rsidR="00CB0068">
                  <w:rPr>
                    <w:rFonts w:ascii="Times New Roman" w:hAnsi="Times New Roman" w:cs="Times New Roman"/>
                    <w:b/>
                    <w:bCs/>
                    <w:sz w:val="20"/>
                    <w:szCs w:val="20"/>
                  </w:rPr>
                  <w:t>:</w:t>
                </w:r>
              </w:p>
            </w:tc>
          </w:tr>
          <w:tr w:rsidR="00C51171" w:rsidRPr="00540074" w:rsidTr="00CB76CB">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5</w:t>
                </w:r>
                <w:r w:rsidR="007266BC">
                  <w:rPr>
                    <w:rFonts w:ascii="Times New Roman" w:hAnsi="Times New Roman" w:cs="Times New Roman"/>
                  </w:rPr>
                  <w:t>2</w:t>
                </w:r>
              </w:p>
            </w:tc>
            <w:tc>
              <w:tcPr>
                <w:tcW w:w="6237" w:type="dxa"/>
              </w:tcPr>
              <w:p w:rsidR="00C51171" w:rsidRPr="00540074" w:rsidRDefault="00623C80" w:rsidP="008458B0">
                <w:pPr>
                  <w:pStyle w:val="TOC2"/>
                  <w:rPr>
                    <w:sz w:val="20"/>
                  </w:rPr>
                </w:pPr>
                <w:r w:rsidRPr="00540074">
                  <w:rPr>
                    <w:sz w:val="20"/>
                  </w:rPr>
                  <w:t xml:space="preserve">Infants’ Nutrition Patters </w:t>
                </w:r>
                <w:r w:rsidR="008458B0">
                  <w:rPr>
                    <w:sz w:val="20"/>
                  </w:rPr>
                  <w:t xml:space="preserve">by age in </w:t>
                </w:r>
                <w:r w:rsidRPr="00540074">
                  <w:rPr>
                    <w:sz w:val="20"/>
                  </w:rPr>
                  <w:t>month of Age, 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1</w:t>
                </w:r>
                <w:r w:rsidR="00F47521" w:rsidRPr="00540074">
                  <w:rPr>
                    <w:rFonts w:ascii="Times New Roman" w:hAnsi="Times New Roman" w:cs="Times New Roman"/>
                    <w:b/>
                    <w:bCs/>
                    <w:sz w:val="20"/>
                    <w:szCs w:val="20"/>
                  </w:rPr>
                  <w:t>8</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5</w:t>
                </w:r>
                <w:r w:rsidR="007266BC">
                  <w:rPr>
                    <w:rFonts w:ascii="Times New Roman" w:hAnsi="Times New Roman" w:cs="Times New Roman"/>
                  </w:rPr>
                  <w:t>3</w:t>
                </w:r>
              </w:p>
            </w:tc>
            <w:tc>
              <w:tcPr>
                <w:tcW w:w="6237" w:type="dxa"/>
                <w:vAlign w:val="center"/>
              </w:tcPr>
              <w:p w:rsidR="00C51171" w:rsidRPr="00540074" w:rsidRDefault="00623C80" w:rsidP="00540074">
                <w:pPr>
                  <w:pStyle w:val="TOC2"/>
                  <w:jc w:val="both"/>
                  <w:rPr>
                    <w:sz w:val="20"/>
                  </w:rPr>
                </w:pPr>
                <w:r w:rsidRPr="00540074">
                  <w:rPr>
                    <w:sz w:val="20"/>
                  </w:rPr>
                  <w:t>Prevalence of Anemia among Children Aged 9-12 Months by Region, 2006-2011</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1</w:t>
                </w:r>
                <w:r w:rsidR="00F47521" w:rsidRPr="00540074">
                  <w:rPr>
                    <w:rFonts w:ascii="Times New Roman" w:hAnsi="Times New Roman" w:cs="Times New Roman"/>
                    <w:b/>
                    <w:bCs/>
                    <w:sz w:val="20"/>
                    <w:szCs w:val="20"/>
                  </w:rPr>
                  <w:t>9</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116C07">
                <w:pPr>
                  <w:bidi/>
                  <w:jc w:val="center"/>
                  <w:rPr>
                    <w:rFonts w:ascii="Times New Roman" w:hAnsi="Times New Roman" w:cs="Times New Roman"/>
                    <w:rtl/>
                  </w:rPr>
                </w:pPr>
                <w:r>
                  <w:rPr>
                    <w:rFonts w:ascii="Times New Roman" w:hAnsi="Times New Roman" w:cs="Times New Roman"/>
                  </w:rPr>
                  <w:t>53</w:t>
                </w:r>
              </w:p>
            </w:tc>
            <w:tc>
              <w:tcPr>
                <w:tcW w:w="6237" w:type="dxa"/>
                <w:vAlign w:val="center"/>
              </w:tcPr>
              <w:p w:rsidR="00C51171" w:rsidRPr="00540074" w:rsidRDefault="00623C80" w:rsidP="00540074">
                <w:pPr>
                  <w:pStyle w:val="TOC2"/>
                  <w:jc w:val="both"/>
                  <w:rPr>
                    <w:sz w:val="20"/>
                  </w:rPr>
                </w:pPr>
                <w:r w:rsidRPr="00540074">
                  <w:rPr>
                    <w:sz w:val="20"/>
                  </w:rPr>
                  <w:t>Prevalence of Malnutrition among Children under Five by Region, 2000 – 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20</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5</w:t>
                </w:r>
                <w:r w:rsidR="007266BC">
                  <w:rPr>
                    <w:rFonts w:ascii="Times New Roman" w:hAnsi="Times New Roman" w:cs="Times New Roman"/>
                  </w:rPr>
                  <w:t>4</w:t>
                </w:r>
              </w:p>
            </w:tc>
            <w:tc>
              <w:tcPr>
                <w:tcW w:w="6237" w:type="dxa"/>
                <w:vAlign w:val="center"/>
              </w:tcPr>
              <w:p w:rsidR="00C51171" w:rsidRPr="00540074" w:rsidRDefault="00623C80" w:rsidP="00363BDC">
                <w:pPr>
                  <w:pStyle w:val="TOC2"/>
                  <w:jc w:val="both"/>
                  <w:rPr>
                    <w:sz w:val="20"/>
                  </w:rPr>
                </w:pPr>
                <w:r w:rsidRPr="00540074">
                  <w:rPr>
                    <w:sz w:val="20"/>
                  </w:rPr>
                  <w:t xml:space="preserve">Prevalence of Malnutrition among Children Aged 9-12 Months </w:t>
                </w:r>
                <w:r w:rsidR="00363BDC">
                  <w:rPr>
                    <w:sz w:val="20"/>
                  </w:rPr>
                  <w:t>by</w:t>
                </w:r>
                <w:r w:rsidRPr="00540074">
                  <w:rPr>
                    <w:sz w:val="20"/>
                  </w:rPr>
                  <w:t xml:space="preserve"> Region 2006-2011</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w:t>
                </w:r>
                <w:r w:rsidRPr="00540074">
                  <w:rPr>
                    <w:rFonts w:ascii="Times New Roman" w:hAnsi="Times New Roman" w:cs="Times New Roman"/>
                    <w:b/>
                    <w:bCs/>
                    <w:sz w:val="20"/>
                    <w:szCs w:val="20"/>
                  </w:rPr>
                  <w:t>1</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5</w:t>
                </w:r>
                <w:r w:rsidR="007266BC">
                  <w:rPr>
                    <w:rFonts w:ascii="Times New Roman" w:hAnsi="Times New Roman" w:cs="Times New Roman"/>
                  </w:rPr>
                  <w:t>5</w:t>
                </w:r>
              </w:p>
            </w:tc>
            <w:tc>
              <w:tcPr>
                <w:tcW w:w="6237" w:type="dxa"/>
                <w:vAlign w:val="center"/>
              </w:tcPr>
              <w:p w:rsidR="00C51171" w:rsidRPr="00540074" w:rsidRDefault="00623C80" w:rsidP="00540074">
                <w:pPr>
                  <w:pStyle w:val="TOC2"/>
                  <w:jc w:val="both"/>
                  <w:rPr>
                    <w:sz w:val="20"/>
                  </w:rPr>
                </w:pPr>
                <w:r w:rsidRPr="00540074">
                  <w:rPr>
                    <w:sz w:val="20"/>
                  </w:rPr>
                  <w:t>Number of Children Forcibly Displaced in Area C and East Jerusalem because of House Demolition by Israeli Occupation Forces, 2009-2014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22</w:t>
                </w:r>
                <w:r w:rsidR="00CB0068">
                  <w:rPr>
                    <w:rFonts w:ascii="Times New Roman" w:hAnsi="Times New Roman" w:cs="Times New Roman"/>
                    <w:b/>
                    <w:bCs/>
                    <w:sz w:val="20"/>
                    <w:szCs w:val="20"/>
                  </w:rPr>
                  <w:t>:</w:t>
                </w:r>
              </w:p>
            </w:tc>
          </w:tr>
          <w:tr w:rsidR="00C51171" w:rsidRPr="00540074" w:rsidTr="00CB76CB">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5</w:t>
                </w:r>
                <w:r w:rsidR="007266BC">
                  <w:rPr>
                    <w:rFonts w:ascii="Times New Roman" w:hAnsi="Times New Roman" w:cs="Times New Roman"/>
                  </w:rPr>
                  <w:t>7</w:t>
                </w:r>
              </w:p>
            </w:tc>
            <w:tc>
              <w:tcPr>
                <w:tcW w:w="6237" w:type="dxa"/>
              </w:tcPr>
              <w:p w:rsidR="00C51171" w:rsidRPr="00540074" w:rsidRDefault="00623C80" w:rsidP="00CB76CB">
                <w:pPr>
                  <w:pStyle w:val="TOC2"/>
                  <w:rPr>
                    <w:sz w:val="20"/>
                  </w:rPr>
                </w:pPr>
                <w:r w:rsidRPr="00540074">
                  <w:rPr>
                    <w:sz w:val="20"/>
                  </w:rPr>
                  <w:t>Number of Martyr and Wounded Children 2010-2014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23</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5</w:t>
                </w:r>
                <w:r w:rsidR="007266BC">
                  <w:rPr>
                    <w:rFonts w:ascii="Times New Roman" w:hAnsi="Times New Roman" w:cs="Times New Roman"/>
                  </w:rPr>
                  <w:t>7</w:t>
                </w:r>
              </w:p>
            </w:tc>
            <w:tc>
              <w:tcPr>
                <w:tcW w:w="6237" w:type="dxa"/>
                <w:vAlign w:val="center"/>
              </w:tcPr>
              <w:p w:rsidR="00C51171" w:rsidRPr="00540074" w:rsidRDefault="00623C80" w:rsidP="00540074">
                <w:pPr>
                  <w:pStyle w:val="TOC2"/>
                  <w:jc w:val="both"/>
                  <w:rPr>
                    <w:sz w:val="20"/>
                  </w:rPr>
                </w:pPr>
                <w:r w:rsidRPr="00540074">
                  <w:rPr>
                    <w:sz w:val="20"/>
                  </w:rPr>
                  <w:t>Number of Cases of Detention of Children by Age Group and Year, 2008-2014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24</w:t>
                </w:r>
                <w:r w:rsidR="00CB0068">
                  <w:rPr>
                    <w:rFonts w:ascii="Times New Roman" w:hAnsi="Times New Roman" w:cs="Times New Roman"/>
                    <w:b/>
                    <w:bCs/>
                    <w:sz w:val="20"/>
                    <w:szCs w:val="20"/>
                  </w:rPr>
                  <w:t>:</w:t>
                </w:r>
              </w:p>
            </w:tc>
          </w:tr>
          <w:tr w:rsidR="00C51171" w:rsidRPr="00540074" w:rsidTr="00CB76CB">
            <w:trPr>
              <w:trHeight w:val="284"/>
              <w:jc w:val="center"/>
            </w:trPr>
            <w:tc>
              <w:tcPr>
                <w:tcW w:w="1250" w:type="dxa"/>
                <w:vAlign w:val="center"/>
              </w:tcPr>
              <w:p w:rsidR="00C51171" w:rsidRPr="00540074" w:rsidRDefault="0072693D" w:rsidP="007266BC">
                <w:pPr>
                  <w:bidi/>
                  <w:jc w:val="center"/>
                  <w:rPr>
                    <w:rFonts w:ascii="Times New Roman" w:hAnsi="Times New Roman" w:cs="Times New Roman"/>
                    <w:rtl/>
                  </w:rPr>
                </w:pPr>
                <w:r>
                  <w:rPr>
                    <w:rFonts w:ascii="Times New Roman" w:hAnsi="Times New Roman" w:cs="Times New Roman"/>
                  </w:rPr>
                  <w:t>5</w:t>
                </w:r>
                <w:r w:rsidR="007266BC">
                  <w:rPr>
                    <w:rFonts w:ascii="Times New Roman" w:hAnsi="Times New Roman" w:cs="Times New Roman"/>
                  </w:rPr>
                  <w:t>8</w:t>
                </w:r>
              </w:p>
            </w:tc>
            <w:tc>
              <w:tcPr>
                <w:tcW w:w="6237" w:type="dxa"/>
              </w:tcPr>
              <w:p w:rsidR="00C51171" w:rsidRPr="00540074" w:rsidRDefault="00623C80" w:rsidP="00CB76CB">
                <w:pPr>
                  <w:pStyle w:val="TOC2"/>
                  <w:rPr>
                    <w:sz w:val="20"/>
                  </w:rPr>
                </w:pPr>
                <w:r w:rsidRPr="00540074">
                  <w:rPr>
                    <w:sz w:val="20"/>
                  </w:rPr>
                  <w:t>Number of Cases of Detention of Children by Age Group 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25</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A75266">
                <w:pPr>
                  <w:bidi/>
                  <w:jc w:val="center"/>
                  <w:rPr>
                    <w:rFonts w:ascii="Times New Roman" w:hAnsi="Times New Roman" w:cs="Times New Roman"/>
                    <w:rtl/>
                  </w:rPr>
                </w:pPr>
                <w:r>
                  <w:rPr>
                    <w:rFonts w:ascii="Times New Roman" w:hAnsi="Times New Roman" w:cs="Times New Roman"/>
                  </w:rPr>
                  <w:t>6</w:t>
                </w:r>
                <w:r w:rsidR="00A75266">
                  <w:rPr>
                    <w:rFonts w:ascii="Times New Roman" w:hAnsi="Times New Roman" w:cs="Times New Roman"/>
                  </w:rPr>
                  <w:t>2</w:t>
                </w:r>
              </w:p>
            </w:tc>
            <w:tc>
              <w:tcPr>
                <w:tcW w:w="6237" w:type="dxa"/>
                <w:vAlign w:val="center"/>
              </w:tcPr>
              <w:p w:rsidR="00C51171" w:rsidRPr="00540074" w:rsidRDefault="00623C80" w:rsidP="00540074">
                <w:pPr>
                  <w:pStyle w:val="TOC2"/>
                  <w:jc w:val="both"/>
                  <w:rPr>
                    <w:sz w:val="20"/>
                    <w:rtl/>
                  </w:rPr>
                </w:pPr>
                <w:r w:rsidRPr="00540074">
                  <w:rPr>
                    <w:sz w:val="20"/>
                  </w:rPr>
                  <w:t>Percentage of Working Children 10-17 Years by Region, Age and Gender, 2009, 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26</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A75266">
                <w:pPr>
                  <w:bidi/>
                  <w:jc w:val="center"/>
                  <w:rPr>
                    <w:rFonts w:ascii="Times New Roman" w:hAnsi="Times New Roman" w:cs="Times New Roman"/>
                    <w:rtl/>
                  </w:rPr>
                </w:pPr>
                <w:r>
                  <w:rPr>
                    <w:rFonts w:ascii="Times New Roman" w:hAnsi="Times New Roman" w:cs="Times New Roman"/>
                  </w:rPr>
                  <w:t>6</w:t>
                </w:r>
                <w:r w:rsidR="00A75266">
                  <w:rPr>
                    <w:rFonts w:ascii="Times New Roman" w:hAnsi="Times New Roman" w:cs="Times New Roman"/>
                  </w:rPr>
                  <w:t>3</w:t>
                </w:r>
              </w:p>
            </w:tc>
            <w:tc>
              <w:tcPr>
                <w:tcW w:w="6237" w:type="dxa"/>
                <w:vAlign w:val="center"/>
              </w:tcPr>
              <w:p w:rsidR="00C51171" w:rsidRPr="00540074" w:rsidRDefault="006510B2" w:rsidP="00540074">
                <w:pPr>
                  <w:pStyle w:val="TOC2"/>
                  <w:jc w:val="both"/>
                  <w:rPr>
                    <w:sz w:val="20"/>
                    <w:rtl/>
                  </w:rPr>
                </w:pPr>
                <w:r w:rsidRPr="006510B2">
                  <w:rPr>
                    <w:sz w:val="20"/>
                  </w:rPr>
                  <w:t>Percentage of Working Children 10-17 Years who were not currently Attend in Education by Region 2009-2014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27</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A75266">
                <w:pPr>
                  <w:bidi/>
                  <w:jc w:val="center"/>
                  <w:rPr>
                    <w:rFonts w:ascii="Times New Roman" w:hAnsi="Times New Roman" w:cs="Times New Roman"/>
                    <w:rtl/>
                  </w:rPr>
                </w:pPr>
                <w:r>
                  <w:rPr>
                    <w:rFonts w:ascii="Times New Roman" w:hAnsi="Times New Roman" w:cs="Times New Roman"/>
                  </w:rPr>
                  <w:t>6</w:t>
                </w:r>
                <w:r w:rsidR="00A75266">
                  <w:rPr>
                    <w:rFonts w:ascii="Times New Roman" w:hAnsi="Times New Roman" w:cs="Times New Roman"/>
                  </w:rPr>
                  <w:t>3</w:t>
                </w:r>
              </w:p>
            </w:tc>
            <w:tc>
              <w:tcPr>
                <w:tcW w:w="6237" w:type="dxa"/>
                <w:vAlign w:val="center"/>
              </w:tcPr>
              <w:p w:rsidR="00C51171" w:rsidRPr="00540074" w:rsidRDefault="00623C80" w:rsidP="00540074">
                <w:pPr>
                  <w:pStyle w:val="TOC2"/>
                  <w:jc w:val="both"/>
                  <w:rPr>
                    <w:sz w:val="20"/>
                  </w:rPr>
                </w:pPr>
                <w:proofErr w:type="spellStart"/>
                <w:r w:rsidRPr="00540074">
                  <w:rPr>
                    <w:sz w:val="20"/>
                  </w:rPr>
                  <w:t>Uneemployment</w:t>
                </w:r>
                <w:proofErr w:type="spellEnd"/>
                <w:r w:rsidRPr="00540074">
                  <w:rPr>
                    <w:sz w:val="20"/>
                  </w:rPr>
                  <w:t xml:space="preserve"> Rate Among Persons Who Headed </w:t>
                </w:r>
                <w:proofErr w:type="spellStart"/>
                <w:r w:rsidRPr="00540074">
                  <w:rPr>
                    <w:sz w:val="20"/>
                  </w:rPr>
                  <w:t>Househols</w:t>
                </w:r>
                <w:proofErr w:type="spellEnd"/>
                <w:r w:rsidRPr="00540074">
                  <w:rPr>
                    <w:sz w:val="20"/>
                  </w:rPr>
                  <w:t xml:space="preserve"> by Sex 2009-2014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28</w:t>
                </w:r>
                <w:r w:rsidR="00CB0068">
                  <w:rPr>
                    <w:rFonts w:ascii="Times New Roman" w:hAnsi="Times New Roman" w:cs="Times New Roman"/>
                    <w:b/>
                    <w:bCs/>
                    <w:sz w:val="20"/>
                    <w:szCs w:val="20"/>
                  </w:rPr>
                  <w:t>:</w:t>
                </w:r>
              </w:p>
            </w:tc>
          </w:tr>
          <w:tr w:rsidR="00C51171" w:rsidRPr="00540074" w:rsidTr="00AE3692">
            <w:trPr>
              <w:trHeight w:val="284"/>
              <w:jc w:val="center"/>
            </w:trPr>
            <w:tc>
              <w:tcPr>
                <w:tcW w:w="1250" w:type="dxa"/>
                <w:vAlign w:val="center"/>
              </w:tcPr>
              <w:p w:rsidR="00C51171" w:rsidRPr="00540074" w:rsidRDefault="0072693D" w:rsidP="000C1591">
                <w:pPr>
                  <w:bidi/>
                  <w:jc w:val="center"/>
                  <w:rPr>
                    <w:rFonts w:ascii="Times New Roman" w:hAnsi="Times New Roman" w:cs="Times New Roman"/>
                    <w:rtl/>
                  </w:rPr>
                </w:pPr>
                <w:r>
                  <w:rPr>
                    <w:rFonts w:ascii="Times New Roman" w:hAnsi="Times New Roman" w:cs="Times New Roman"/>
                  </w:rPr>
                  <w:t>6</w:t>
                </w:r>
                <w:r w:rsidR="000C1591">
                  <w:rPr>
                    <w:rFonts w:ascii="Times New Roman" w:hAnsi="Times New Roman" w:cs="Times New Roman"/>
                  </w:rPr>
                  <w:t>4</w:t>
                </w:r>
              </w:p>
            </w:tc>
            <w:tc>
              <w:tcPr>
                <w:tcW w:w="6237" w:type="dxa"/>
              </w:tcPr>
              <w:p w:rsidR="00C51171" w:rsidRPr="00540074" w:rsidRDefault="00623C80" w:rsidP="00AE3692">
                <w:pPr>
                  <w:pStyle w:val="TOC2"/>
                  <w:rPr>
                    <w:sz w:val="20"/>
                  </w:rPr>
                </w:pPr>
                <w:r w:rsidRPr="00540074">
                  <w:rPr>
                    <w:sz w:val="20"/>
                  </w:rPr>
                  <w:t>Poverty Rate Among Individuals 2009-2011</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29</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0C1591">
                <w:pPr>
                  <w:bidi/>
                  <w:jc w:val="center"/>
                  <w:rPr>
                    <w:rFonts w:ascii="Times New Roman" w:hAnsi="Times New Roman" w:cs="Times New Roman"/>
                    <w:rtl/>
                  </w:rPr>
                </w:pPr>
                <w:r>
                  <w:rPr>
                    <w:rFonts w:ascii="Times New Roman" w:hAnsi="Times New Roman" w:cs="Times New Roman"/>
                  </w:rPr>
                  <w:t>6</w:t>
                </w:r>
                <w:r w:rsidR="000C1591">
                  <w:rPr>
                    <w:rFonts w:ascii="Times New Roman" w:hAnsi="Times New Roman" w:cs="Times New Roman"/>
                  </w:rPr>
                  <w:t>5</w:t>
                </w:r>
              </w:p>
            </w:tc>
            <w:tc>
              <w:tcPr>
                <w:tcW w:w="6237" w:type="dxa"/>
                <w:vAlign w:val="center"/>
              </w:tcPr>
              <w:p w:rsidR="00C51171" w:rsidRPr="00540074" w:rsidRDefault="00623C80" w:rsidP="00540074">
                <w:pPr>
                  <w:pStyle w:val="TOC2"/>
                  <w:jc w:val="both"/>
                  <w:rPr>
                    <w:sz w:val="20"/>
                  </w:rPr>
                </w:pPr>
                <w:r w:rsidRPr="00540074">
                  <w:rPr>
                    <w:sz w:val="20"/>
                  </w:rPr>
                  <w:t xml:space="preserve">Poverty Rates among Individuals according to Monthly Household Consumption </w:t>
                </w:r>
                <w:proofErr w:type="spellStart"/>
                <w:r w:rsidRPr="00540074">
                  <w:rPr>
                    <w:sz w:val="20"/>
                  </w:rPr>
                  <w:t>Patters</w:t>
                </w:r>
                <w:proofErr w:type="spellEnd"/>
                <w:r w:rsidRPr="00540074">
                  <w:rPr>
                    <w:sz w:val="20"/>
                  </w:rPr>
                  <w:t>, 2011</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30</w:t>
                </w:r>
                <w:r w:rsidR="00CB0068">
                  <w:rPr>
                    <w:rFonts w:ascii="Times New Roman" w:hAnsi="Times New Roman" w:cs="Times New Roman"/>
                    <w:b/>
                    <w:bCs/>
                    <w:sz w:val="20"/>
                    <w:szCs w:val="20"/>
                  </w:rPr>
                  <w:t>:</w:t>
                </w:r>
              </w:p>
            </w:tc>
          </w:tr>
          <w:tr w:rsidR="00C51171" w:rsidRPr="00540074" w:rsidTr="00AE3692">
            <w:trPr>
              <w:trHeight w:val="284"/>
              <w:jc w:val="center"/>
            </w:trPr>
            <w:tc>
              <w:tcPr>
                <w:tcW w:w="1250" w:type="dxa"/>
                <w:vAlign w:val="center"/>
              </w:tcPr>
              <w:p w:rsidR="00C51171" w:rsidRPr="00540074" w:rsidRDefault="0072693D" w:rsidP="000C1591">
                <w:pPr>
                  <w:bidi/>
                  <w:jc w:val="center"/>
                  <w:rPr>
                    <w:rFonts w:ascii="Times New Roman" w:hAnsi="Times New Roman" w:cs="Times New Roman"/>
                    <w:rtl/>
                  </w:rPr>
                </w:pPr>
                <w:r>
                  <w:rPr>
                    <w:rFonts w:ascii="Times New Roman" w:hAnsi="Times New Roman" w:cs="Times New Roman"/>
                  </w:rPr>
                  <w:t>6</w:t>
                </w:r>
                <w:r w:rsidR="000C1591">
                  <w:rPr>
                    <w:rFonts w:ascii="Times New Roman" w:hAnsi="Times New Roman" w:cs="Times New Roman"/>
                  </w:rPr>
                  <w:t>6</w:t>
                </w:r>
              </w:p>
            </w:tc>
            <w:tc>
              <w:tcPr>
                <w:tcW w:w="6237" w:type="dxa"/>
              </w:tcPr>
              <w:p w:rsidR="00C51171" w:rsidRPr="00540074" w:rsidRDefault="00623C80" w:rsidP="00AE3692">
                <w:pPr>
                  <w:pStyle w:val="TOC2"/>
                  <w:rPr>
                    <w:sz w:val="20"/>
                  </w:rPr>
                </w:pPr>
                <w:r w:rsidRPr="00540074">
                  <w:rPr>
                    <w:sz w:val="20"/>
                  </w:rPr>
                  <w:t>Percentage of Poor Children by Region 2009-2011</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31</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0C1591">
                <w:pPr>
                  <w:bidi/>
                  <w:jc w:val="center"/>
                  <w:rPr>
                    <w:rFonts w:ascii="Times New Roman" w:hAnsi="Times New Roman" w:cs="Times New Roman"/>
                    <w:rtl/>
                  </w:rPr>
                </w:pPr>
                <w:r>
                  <w:rPr>
                    <w:rFonts w:ascii="Times New Roman" w:hAnsi="Times New Roman" w:cs="Times New Roman"/>
                  </w:rPr>
                  <w:t>6</w:t>
                </w:r>
                <w:r w:rsidR="000C1591">
                  <w:rPr>
                    <w:rFonts w:ascii="Times New Roman" w:hAnsi="Times New Roman" w:cs="Times New Roman"/>
                  </w:rPr>
                  <w:t>7</w:t>
                </w:r>
              </w:p>
            </w:tc>
            <w:tc>
              <w:tcPr>
                <w:tcW w:w="6237" w:type="dxa"/>
                <w:vAlign w:val="center"/>
              </w:tcPr>
              <w:p w:rsidR="00C51171" w:rsidRPr="00540074" w:rsidRDefault="00623C80" w:rsidP="00540074">
                <w:pPr>
                  <w:pStyle w:val="TOC2"/>
                  <w:jc w:val="both"/>
                  <w:rPr>
                    <w:sz w:val="20"/>
                  </w:rPr>
                </w:pPr>
                <w:r w:rsidRPr="00540074">
                  <w:rPr>
                    <w:sz w:val="20"/>
                  </w:rPr>
                  <w:t>Number of Children Receiving Social Assistance by Region and Health Status, 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32</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0C1591">
                <w:pPr>
                  <w:bidi/>
                  <w:jc w:val="center"/>
                  <w:rPr>
                    <w:rFonts w:ascii="Times New Roman" w:hAnsi="Times New Roman" w:cs="Times New Roman"/>
                    <w:rtl/>
                  </w:rPr>
                </w:pPr>
                <w:r>
                  <w:rPr>
                    <w:rFonts w:ascii="Times New Roman" w:hAnsi="Times New Roman" w:cs="Times New Roman"/>
                  </w:rPr>
                  <w:t>6</w:t>
                </w:r>
                <w:r w:rsidR="000C1591">
                  <w:rPr>
                    <w:rFonts w:ascii="Times New Roman" w:hAnsi="Times New Roman" w:cs="Times New Roman"/>
                  </w:rPr>
                  <w:t>8</w:t>
                </w:r>
              </w:p>
            </w:tc>
            <w:tc>
              <w:tcPr>
                <w:tcW w:w="6237" w:type="dxa"/>
                <w:vAlign w:val="center"/>
              </w:tcPr>
              <w:p w:rsidR="00C51171" w:rsidRPr="00540074" w:rsidRDefault="00623C80" w:rsidP="00540074">
                <w:pPr>
                  <w:pStyle w:val="TOC2"/>
                  <w:jc w:val="both"/>
                  <w:rPr>
                    <w:sz w:val="20"/>
                  </w:rPr>
                </w:pPr>
                <w:r w:rsidRPr="00540074">
                  <w:rPr>
                    <w:sz w:val="20"/>
                  </w:rPr>
                  <w:t xml:space="preserve">Number of Children Admitted to </w:t>
                </w:r>
                <w:proofErr w:type="spellStart"/>
                <w:r w:rsidRPr="00540074">
                  <w:rPr>
                    <w:sz w:val="20"/>
                  </w:rPr>
                  <w:t>Alamal</w:t>
                </w:r>
                <w:proofErr w:type="spellEnd"/>
                <w:r w:rsidRPr="00540074">
                  <w:rPr>
                    <w:sz w:val="20"/>
                  </w:rPr>
                  <w:t xml:space="preserve"> Rehabilitation Center for Observation and Social Care in the West Bank 2009-2014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33</w:t>
                </w:r>
                <w:r w:rsidR="00CB0068">
                  <w:rPr>
                    <w:rFonts w:ascii="Times New Roman" w:hAnsi="Times New Roman" w:cs="Times New Roman"/>
                    <w:b/>
                    <w:bCs/>
                    <w:sz w:val="20"/>
                    <w:szCs w:val="20"/>
                  </w:rPr>
                  <w:t>:</w:t>
                </w:r>
              </w:p>
            </w:tc>
          </w:tr>
          <w:tr w:rsidR="00C51171" w:rsidRPr="00540074" w:rsidTr="00AE3692">
            <w:trPr>
              <w:trHeight w:val="284"/>
              <w:jc w:val="center"/>
            </w:trPr>
            <w:tc>
              <w:tcPr>
                <w:tcW w:w="1250" w:type="dxa"/>
                <w:vAlign w:val="center"/>
              </w:tcPr>
              <w:p w:rsidR="00C51171" w:rsidRPr="00540074" w:rsidRDefault="0072693D" w:rsidP="000C1591">
                <w:pPr>
                  <w:bidi/>
                  <w:jc w:val="center"/>
                  <w:rPr>
                    <w:rFonts w:ascii="Times New Roman" w:hAnsi="Times New Roman" w:cs="Times New Roman"/>
                    <w:rtl/>
                  </w:rPr>
                </w:pPr>
                <w:r>
                  <w:rPr>
                    <w:rFonts w:ascii="Times New Roman" w:hAnsi="Times New Roman" w:cs="Times New Roman"/>
                  </w:rPr>
                  <w:t>6</w:t>
                </w:r>
                <w:r w:rsidR="000C1591">
                  <w:rPr>
                    <w:rFonts w:ascii="Times New Roman" w:hAnsi="Times New Roman" w:cs="Times New Roman"/>
                  </w:rPr>
                  <w:t>8</w:t>
                </w:r>
              </w:p>
            </w:tc>
            <w:tc>
              <w:tcPr>
                <w:tcW w:w="6237" w:type="dxa"/>
              </w:tcPr>
              <w:p w:rsidR="00C51171" w:rsidRPr="00540074" w:rsidRDefault="00623C80" w:rsidP="00AE3692">
                <w:pPr>
                  <w:pStyle w:val="TOC2"/>
                  <w:rPr>
                    <w:sz w:val="20"/>
                    <w:rtl/>
                  </w:rPr>
                </w:pPr>
                <w:r w:rsidRPr="00540074">
                  <w:rPr>
                    <w:sz w:val="20"/>
                  </w:rPr>
                  <w:t>Number of Children in Conflict with the Law by Type of Offense, 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34</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0C1591" w:rsidP="00116C07">
                <w:pPr>
                  <w:bidi/>
                  <w:jc w:val="center"/>
                  <w:rPr>
                    <w:rFonts w:ascii="Times New Roman" w:hAnsi="Times New Roman" w:cs="Times New Roman"/>
                    <w:rtl/>
                  </w:rPr>
                </w:pPr>
                <w:r>
                  <w:rPr>
                    <w:rFonts w:ascii="Times New Roman" w:hAnsi="Times New Roman" w:cs="Times New Roman"/>
                  </w:rPr>
                  <w:t>70</w:t>
                </w:r>
              </w:p>
            </w:tc>
            <w:tc>
              <w:tcPr>
                <w:tcW w:w="6237" w:type="dxa"/>
                <w:vAlign w:val="center"/>
              </w:tcPr>
              <w:p w:rsidR="00C51171" w:rsidRPr="00540074" w:rsidRDefault="00583A2F" w:rsidP="006510B2">
                <w:pPr>
                  <w:pStyle w:val="TOC2"/>
                  <w:jc w:val="both"/>
                  <w:rPr>
                    <w:sz w:val="20"/>
                  </w:rPr>
                </w:pPr>
                <w:r w:rsidRPr="00540074">
                  <w:rPr>
                    <w:sz w:val="20"/>
                  </w:rPr>
                  <w:t xml:space="preserve">Number of Cases of Violence, Abuse and Negligence against Children Reported by Type of Abuse and </w:t>
                </w:r>
                <w:r w:rsidR="006510B2">
                  <w:rPr>
                    <w:sz w:val="20"/>
                  </w:rPr>
                  <w:t>Sex</w:t>
                </w:r>
                <w:r w:rsidRPr="00540074">
                  <w:rPr>
                    <w:sz w:val="20"/>
                  </w:rPr>
                  <w:t>, 2014</w:t>
                </w:r>
              </w:p>
            </w:tc>
            <w:tc>
              <w:tcPr>
                <w:tcW w:w="1578" w:type="dxa"/>
                <w:vAlign w:val="center"/>
              </w:tcPr>
              <w:p w:rsidR="00C51171" w:rsidRPr="00540074" w:rsidRDefault="00C51171"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F47521" w:rsidRPr="00540074">
                  <w:rPr>
                    <w:rFonts w:ascii="Times New Roman" w:hAnsi="Times New Roman" w:cs="Times New Roman"/>
                    <w:b/>
                    <w:bCs/>
                    <w:sz w:val="20"/>
                    <w:szCs w:val="20"/>
                  </w:rPr>
                  <w:t>35</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0C1591">
                <w:pPr>
                  <w:bidi/>
                  <w:jc w:val="center"/>
                  <w:rPr>
                    <w:rFonts w:ascii="Times New Roman" w:hAnsi="Times New Roman" w:cs="Times New Roman"/>
                    <w:rtl/>
                  </w:rPr>
                </w:pPr>
                <w:r>
                  <w:rPr>
                    <w:rFonts w:ascii="Times New Roman" w:hAnsi="Times New Roman" w:cs="Times New Roman"/>
                  </w:rPr>
                  <w:t>7</w:t>
                </w:r>
                <w:r w:rsidR="000C1591">
                  <w:rPr>
                    <w:rFonts w:ascii="Times New Roman" w:hAnsi="Times New Roman" w:cs="Times New Roman"/>
                  </w:rPr>
                  <w:t>1</w:t>
                </w:r>
              </w:p>
            </w:tc>
            <w:tc>
              <w:tcPr>
                <w:tcW w:w="6237" w:type="dxa"/>
                <w:vAlign w:val="center"/>
              </w:tcPr>
              <w:p w:rsidR="00623C80" w:rsidRPr="00540074" w:rsidRDefault="00583A2F" w:rsidP="00540074">
                <w:pPr>
                  <w:pStyle w:val="TOC2"/>
                  <w:jc w:val="both"/>
                  <w:rPr>
                    <w:sz w:val="20"/>
                  </w:rPr>
                </w:pPr>
                <w:r w:rsidRPr="00540074">
                  <w:rPr>
                    <w:sz w:val="20"/>
                  </w:rPr>
                  <w:t>Number of Reported Cases of Violence, Abuse and Neglect Against Children by Type of Abuse and Age, 2014</w:t>
                </w:r>
              </w:p>
            </w:tc>
            <w:tc>
              <w:tcPr>
                <w:tcW w:w="1578" w:type="dxa"/>
                <w:vAlign w:val="center"/>
              </w:tcPr>
              <w:p w:rsidR="00623C80" w:rsidRPr="00540074" w:rsidRDefault="00623C80"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3</w:t>
                </w:r>
                <w:r w:rsidR="00A91ACD" w:rsidRPr="00540074">
                  <w:rPr>
                    <w:rFonts w:ascii="Times New Roman" w:hAnsi="Times New Roman" w:cs="Times New Roman"/>
                    <w:b/>
                    <w:bCs/>
                    <w:sz w:val="20"/>
                    <w:szCs w:val="20"/>
                  </w:rPr>
                  <w:t>6</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0C1591">
                <w:pPr>
                  <w:bidi/>
                  <w:jc w:val="center"/>
                  <w:rPr>
                    <w:rFonts w:ascii="Times New Roman" w:hAnsi="Times New Roman" w:cs="Times New Roman"/>
                    <w:rtl/>
                  </w:rPr>
                </w:pPr>
                <w:r>
                  <w:rPr>
                    <w:rFonts w:ascii="Times New Roman" w:hAnsi="Times New Roman" w:cs="Times New Roman"/>
                  </w:rPr>
                  <w:t>7</w:t>
                </w:r>
                <w:r w:rsidR="000C1591">
                  <w:rPr>
                    <w:rFonts w:ascii="Times New Roman" w:hAnsi="Times New Roman" w:cs="Times New Roman"/>
                  </w:rPr>
                  <w:t>1</w:t>
                </w:r>
              </w:p>
            </w:tc>
            <w:tc>
              <w:tcPr>
                <w:tcW w:w="6237" w:type="dxa"/>
                <w:vAlign w:val="center"/>
              </w:tcPr>
              <w:p w:rsidR="00623C80" w:rsidRPr="00540074" w:rsidRDefault="00583A2F" w:rsidP="00540074">
                <w:pPr>
                  <w:pStyle w:val="TOC2"/>
                  <w:jc w:val="both"/>
                  <w:rPr>
                    <w:sz w:val="20"/>
                  </w:rPr>
                </w:pPr>
                <w:r w:rsidRPr="00540074">
                  <w:rPr>
                    <w:sz w:val="20"/>
                  </w:rPr>
                  <w:t>Number of Cases of Violence, Abuse and Neglect of Children Reported by Type and Source of Abuse, 2014</w:t>
                </w:r>
              </w:p>
            </w:tc>
            <w:tc>
              <w:tcPr>
                <w:tcW w:w="1578" w:type="dxa"/>
                <w:vAlign w:val="center"/>
              </w:tcPr>
              <w:p w:rsidR="00623C80" w:rsidRPr="00540074" w:rsidRDefault="00623C80"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3</w:t>
                </w:r>
                <w:r w:rsidR="00A91ACD" w:rsidRPr="00540074">
                  <w:rPr>
                    <w:rFonts w:ascii="Times New Roman" w:hAnsi="Times New Roman" w:cs="Times New Roman"/>
                    <w:b/>
                    <w:bCs/>
                    <w:sz w:val="20"/>
                    <w:szCs w:val="20"/>
                  </w:rPr>
                  <w:t>7</w:t>
                </w:r>
                <w:r w:rsidR="00CB0068">
                  <w:rPr>
                    <w:rFonts w:ascii="Times New Roman" w:hAnsi="Times New Roman" w:cs="Times New Roman"/>
                    <w:b/>
                    <w:bCs/>
                    <w:sz w:val="20"/>
                    <w:szCs w:val="20"/>
                  </w:rPr>
                  <w:t>:</w:t>
                </w:r>
              </w:p>
            </w:tc>
          </w:tr>
          <w:tr w:rsidR="00623C80" w:rsidRPr="00540074" w:rsidTr="00AE3692">
            <w:trPr>
              <w:trHeight w:val="284"/>
              <w:jc w:val="center"/>
            </w:trPr>
            <w:tc>
              <w:tcPr>
                <w:tcW w:w="1250" w:type="dxa"/>
                <w:vAlign w:val="center"/>
              </w:tcPr>
              <w:p w:rsidR="00623C80" w:rsidRPr="00540074" w:rsidRDefault="0072693D" w:rsidP="000C1591">
                <w:pPr>
                  <w:bidi/>
                  <w:jc w:val="center"/>
                  <w:rPr>
                    <w:rFonts w:ascii="Times New Roman" w:hAnsi="Times New Roman" w:cs="Times New Roman"/>
                    <w:rtl/>
                  </w:rPr>
                </w:pPr>
                <w:r>
                  <w:rPr>
                    <w:rFonts w:ascii="Times New Roman" w:hAnsi="Times New Roman" w:cs="Times New Roman"/>
                  </w:rPr>
                  <w:t>7</w:t>
                </w:r>
                <w:r w:rsidR="000C1591">
                  <w:rPr>
                    <w:rFonts w:ascii="Times New Roman" w:hAnsi="Times New Roman" w:cs="Times New Roman"/>
                  </w:rPr>
                  <w:t>2</w:t>
                </w:r>
              </w:p>
            </w:tc>
            <w:tc>
              <w:tcPr>
                <w:tcW w:w="6237" w:type="dxa"/>
                <w:vAlign w:val="center"/>
              </w:tcPr>
              <w:p w:rsidR="00623C80" w:rsidRPr="00540074" w:rsidRDefault="00097D66" w:rsidP="00540074">
                <w:pPr>
                  <w:pStyle w:val="TOC2"/>
                  <w:jc w:val="both"/>
                  <w:rPr>
                    <w:sz w:val="20"/>
                  </w:rPr>
                </w:pPr>
                <w:r w:rsidRPr="00540074">
                  <w:rPr>
                    <w:sz w:val="20"/>
                  </w:rPr>
                  <w:t>Percentage of Children Aged 12-17 Years  Exposed to Physical Violence During the Previous 12 Months Prior to the Survey by Region, Gender and Aggressor, 2011</w:t>
                </w:r>
              </w:p>
            </w:tc>
            <w:tc>
              <w:tcPr>
                <w:tcW w:w="1578" w:type="dxa"/>
              </w:tcPr>
              <w:p w:rsidR="00623C80" w:rsidRPr="00AE3692" w:rsidRDefault="00623C80" w:rsidP="00AE3692">
                <w:pPr>
                  <w:jc w:val="center"/>
                  <w:rPr>
                    <w:rFonts w:ascii="Times New Roman" w:hAnsi="Times New Roman" w:cs="Times New Roman"/>
                    <w:b/>
                    <w:bCs/>
                    <w:sz w:val="20"/>
                    <w:szCs w:val="20"/>
                  </w:rPr>
                </w:pPr>
                <w:r w:rsidRPr="00540074">
                  <w:rPr>
                    <w:rFonts w:ascii="Times New Roman" w:hAnsi="Times New Roman" w:cs="Times New Roman"/>
                    <w:b/>
                    <w:bCs/>
                    <w:sz w:val="20"/>
                    <w:szCs w:val="20"/>
                  </w:rPr>
                  <w:t>Figure 3</w:t>
                </w:r>
                <w:r w:rsidR="00A91ACD" w:rsidRPr="00540074">
                  <w:rPr>
                    <w:rFonts w:ascii="Times New Roman" w:hAnsi="Times New Roman" w:cs="Times New Roman"/>
                    <w:b/>
                    <w:bCs/>
                    <w:sz w:val="20"/>
                    <w:szCs w:val="20"/>
                  </w:rPr>
                  <w:t>8</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0C1591">
                <w:pPr>
                  <w:bidi/>
                  <w:jc w:val="center"/>
                  <w:rPr>
                    <w:rFonts w:ascii="Times New Roman" w:hAnsi="Times New Roman" w:cs="Times New Roman"/>
                    <w:rtl/>
                  </w:rPr>
                </w:pPr>
                <w:r>
                  <w:rPr>
                    <w:rFonts w:ascii="Times New Roman" w:hAnsi="Times New Roman" w:cs="Times New Roman"/>
                  </w:rPr>
                  <w:t>7</w:t>
                </w:r>
                <w:r w:rsidR="000C1591">
                  <w:rPr>
                    <w:rFonts w:ascii="Times New Roman" w:hAnsi="Times New Roman" w:cs="Times New Roman"/>
                  </w:rPr>
                  <w:t>2</w:t>
                </w:r>
              </w:p>
            </w:tc>
            <w:tc>
              <w:tcPr>
                <w:tcW w:w="6237" w:type="dxa"/>
                <w:vAlign w:val="center"/>
              </w:tcPr>
              <w:p w:rsidR="00623C80" w:rsidRPr="00540074" w:rsidRDefault="00097D66" w:rsidP="00540074">
                <w:pPr>
                  <w:pStyle w:val="TOC2"/>
                  <w:jc w:val="both"/>
                  <w:rPr>
                    <w:sz w:val="20"/>
                  </w:rPr>
                </w:pPr>
                <w:r w:rsidRPr="00540074">
                  <w:rPr>
                    <w:sz w:val="20"/>
                  </w:rPr>
                  <w:t>Percentage of Children Aged 12-17 Years Subjected to Violence by a Parent by Type of Violence and Region, 2011</w:t>
                </w:r>
              </w:p>
            </w:tc>
            <w:tc>
              <w:tcPr>
                <w:tcW w:w="1578" w:type="dxa"/>
                <w:vAlign w:val="center"/>
              </w:tcPr>
              <w:p w:rsidR="00623C80" w:rsidRPr="00540074" w:rsidRDefault="00623C80"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 3</w:t>
                </w:r>
                <w:r w:rsidR="00A91ACD" w:rsidRPr="00540074">
                  <w:rPr>
                    <w:rFonts w:ascii="Times New Roman" w:hAnsi="Times New Roman" w:cs="Times New Roman"/>
                    <w:b/>
                    <w:bCs/>
                    <w:sz w:val="20"/>
                    <w:szCs w:val="20"/>
                  </w:rPr>
                  <w:t>9</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0C1591">
                <w:pPr>
                  <w:bidi/>
                  <w:jc w:val="center"/>
                  <w:rPr>
                    <w:rFonts w:ascii="Times New Roman" w:hAnsi="Times New Roman" w:cs="Times New Roman"/>
                    <w:rtl/>
                  </w:rPr>
                </w:pPr>
                <w:r>
                  <w:rPr>
                    <w:rFonts w:ascii="Times New Roman" w:hAnsi="Times New Roman" w:cs="Times New Roman"/>
                  </w:rPr>
                  <w:t>7</w:t>
                </w:r>
                <w:r w:rsidR="000C1591">
                  <w:rPr>
                    <w:rFonts w:ascii="Times New Roman" w:hAnsi="Times New Roman" w:cs="Times New Roman"/>
                  </w:rPr>
                  <w:t>7</w:t>
                </w:r>
              </w:p>
            </w:tc>
            <w:tc>
              <w:tcPr>
                <w:tcW w:w="6237" w:type="dxa"/>
                <w:vAlign w:val="center"/>
              </w:tcPr>
              <w:p w:rsidR="00623C80" w:rsidRPr="00540074" w:rsidRDefault="00097D66" w:rsidP="00540074">
                <w:pPr>
                  <w:pStyle w:val="TOC2"/>
                  <w:jc w:val="both"/>
                  <w:rPr>
                    <w:sz w:val="20"/>
                  </w:rPr>
                </w:pPr>
                <w:r w:rsidRPr="00540074">
                  <w:rPr>
                    <w:sz w:val="20"/>
                  </w:rPr>
                  <w:t xml:space="preserve">Distribution of Children with Disabilities in Educational Directorates in the West </w:t>
                </w:r>
                <w:proofErr w:type="spellStart"/>
                <w:r w:rsidRPr="00540074">
                  <w:rPr>
                    <w:sz w:val="20"/>
                  </w:rPr>
                  <w:t>BankBy</w:t>
                </w:r>
                <w:proofErr w:type="spellEnd"/>
                <w:r w:rsidRPr="00540074">
                  <w:rPr>
                    <w:sz w:val="20"/>
                  </w:rPr>
                  <w:t xml:space="preserve"> Type of Disability and Year</w:t>
                </w:r>
              </w:p>
            </w:tc>
            <w:tc>
              <w:tcPr>
                <w:tcW w:w="1578" w:type="dxa"/>
                <w:vAlign w:val="center"/>
              </w:tcPr>
              <w:p w:rsidR="00623C80" w:rsidRPr="00540074" w:rsidRDefault="00623C80"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40</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0C1591">
                <w:pPr>
                  <w:bidi/>
                  <w:jc w:val="center"/>
                  <w:rPr>
                    <w:rFonts w:ascii="Times New Roman" w:hAnsi="Times New Roman" w:cs="Times New Roman"/>
                    <w:rtl/>
                  </w:rPr>
                </w:pPr>
                <w:r>
                  <w:rPr>
                    <w:rFonts w:ascii="Times New Roman" w:hAnsi="Times New Roman" w:cs="Times New Roman"/>
                  </w:rPr>
                  <w:t>7</w:t>
                </w:r>
                <w:r w:rsidR="000C1591">
                  <w:rPr>
                    <w:rFonts w:ascii="Times New Roman" w:hAnsi="Times New Roman" w:cs="Times New Roman"/>
                  </w:rPr>
                  <w:t>8</w:t>
                </w:r>
              </w:p>
            </w:tc>
            <w:tc>
              <w:tcPr>
                <w:tcW w:w="6237" w:type="dxa"/>
                <w:vAlign w:val="center"/>
              </w:tcPr>
              <w:p w:rsidR="00623C80" w:rsidRPr="00540074" w:rsidRDefault="00097D66" w:rsidP="00540074">
                <w:pPr>
                  <w:pStyle w:val="TOC2"/>
                  <w:jc w:val="both"/>
                  <w:rPr>
                    <w:sz w:val="20"/>
                  </w:rPr>
                </w:pPr>
                <w:r w:rsidRPr="00540074">
                  <w:rPr>
                    <w:sz w:val="20"/>
                  </w:rPr>
                  <w:t>Distribution of Children with Disabilities in Educational Directorates in the West Bank by Type of Disability and Year</w:t>
                </w:r>
              </w:p>
            </w:tc>
            <w:tc>
              <w:tcPr>
                <w:tcW w:w="1578" w:type="dxa"/>
                <w:vAlign w:val="center"/>
              </w:tcPr>
              <w:p w:rsidR="00623C80" w:rsidRPr="00540074" w:rsidRDefault="00623C80"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41</w:t>
                </w:r>
                <w:r w:rsidR="00CB0068">
                  <w:rPr>
                    <w:rFonts w:ascii="Times New Roman" w:hAnsi="Times New Roman" w:cs="Times New Roman"/>
                    <w:b/>
                    <w:bCs/>
                    <w:sz w:val="20"/>
                    <w:szCs w:val="20"/>
                  </w:rPr>
                  <w:t>:</w:t>
                </w:r>
              </w:p>
            </w:tc>
          </w:tr>
          <w:tr w:rsidR="00C51171" w:rsidRPr="00540074" w:rsidTr="00CA7FFA">
            <w:trPr>
              <w:trHeight w:val="284"/>
              <w:jc w:val="center"/>
            </w:trPr>
            <w:tc>
              <w:tcPr>
                <w:tcW w:w="1250" w:type="dxa"/>
                <w:vAlign w:val="center"/>
              </w:tcPr>
              <w:p w:rsidR="00C51171" w:rsidRPr="00540074" w:rsidRDefault="0072693D" w:rsidP="000C1591">
                <w:pPr>
                  <w:bidi/>
                  <w:jc w:val="center"/>
                  <w:rPr>
                    <w:rFonts w:ascii="Times New Roman" w:hAnsi="Times New Roman" w:cs="Times New Roman"/>
                    <w:rtl/>
                  </w:rPr>
                </w:pPr>
                <w:r>
                  <w:rPr>
                    <w:rFonts w:ascii="Times New Roman" w:hAnsi="Times New Roman" w:cs="Times New Roman"/>
                  </w:rPr>
                  <w:t>7</w:t>
                </w:r>
                <w:r w:rsidR="000C1591">
                  <w:rPr>
                    <w:rFonts w:ascii="Times New Roman" w:hAnsi="Times New Roman" w:cs="Times New Roman"/>
                  </w:rPr>
                  <w:t>8</w:t>
                </w:r>
              </w:p>
            </w:tc>
            <w:tc>
              <w:tcPr>
                <w:tcW w:w="6237" w:type="dxa"/>
                <w:vAlign w:val="center"/>
              </w:tcPr>
              <w:p w:rsidR="00C51171" w:rsidRPr="00540074" w:rsidRDefault="00097D66" w:rsidP="00540074">
                <w:pPr>
                  <w:pStyle w:val="TOC2"/>
                  <w:jc w:val="both"/>
                  <w:rPr>
                    <w:sz w:val="20"/>
                  </w:rPr>
                </w:pPr>
                <w:r w:rsidRPr="00540074">
                  <w:rPr>
                    <w:sz w:val="20"/>
                  </w:rPr>
                  <w:t>Distribution of Children with Disabilities in Educational Directorates in the West Bank by Type of Disability and Year</w:t>
                </w:r>
              </w:p>
            </w:tc>
            <w:tc>
              <w:tcPr>
                <w:tcW w:w="1578" w:type="dxa"/>
                <w:vAlign w:val="center"/>
              </w:tcPr>
              <w:p w:rsidR="00C51171" w:rsidRPr="00AE3692" w:rsidRDefault="00623C80" w:rsidP="00AE3692">
                <w:pPr>
                  <w:jc w:val="center"/>
                  <w:rPr>
                    <w:rFonts w:ascii="Times New Roman" w:hAnsi="Times New Roman" w:cs="Times New Roman"/>
                    <w:b/>
                    <w:bCs/>
                    <w:sz w:val="20"/>
                    <w:szCs w:val="20"/>
                    <w:rtl/>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42</w:t>
                </w:r>
                <w:r w:rsidR="00CB0068">
                  <w:rPr>
                    <w:rFonts w:ascii="Times New Roman" w:hAnsi="Times New Roman" w:cs="Times New Roman"/>
                    <w:b/>
                    <w:bCs/>
                    <w:sz w:val="20"/>
                    <w:szCs w:val="20"/>
                  </w:rPr>
                  <w:t>:</w:t>
                </w:r>
              </w:p>
            </w:tc>
          </w:tr>
          <w:tr w:rsidR="00623C80" w:rsidRPr="00540074" w:rsidTr="00AE3692">
            <w:trPr>
              <w:trHeight w:val="284"/>
              <w:jc w:val="center"/>
            </w:trPr>
            <w:tc>
              <w:tcPr>
                <w:tcW w:w="1250" w:type="dxa"/>
                <w:vAlign w:val="bottom"/>
              </w:tcPr>
              <w:p w:rsidR="00DD1CB3" w:rsidRPr="00F52154" w:rsidRDefault="0072693D" w:rsidP="000C1591">
                <w:pPr>
                  <w:bidi/>
                  <w:jc w:val="center"/>
                  <w:rPr>
                    <w:rFonts w:ascii="Times New Roman" w:hAnsi="Times New Roman" w:cs="Times New Roman"/>
                    <w:rtl/>
                  </w:rPr>
                </w:pPr>
                <w:r w:rsidRPr="00F52154">
                  <w:rPr>
                    <w:rFonts w:ascii="Times New Roman" w:hAnsi="Times New Roman" w:cs="Times New Roman"/>
                  </w:rPr>
                  <w:t>7</w:t>
                </w:r>
                <w:r w:rsidR="000C1591">
                  <w:rPr>
                    <w:rFonts w:ascii="Times New Roman" w:hAnsi="Times New Roman" w:cs="Times New Roman"/>
                  </w:rPr>
                  <w:t>9</w:t>
                </w:r>
              </w:p>
            </w:tc>
            <w:tc>
              <w:tcPr>
                <w:tcW w:w="6237" w:type="dxa"/>
              </w:tcPr>
              <w:p w:rsidR="00623C80" w:rsidRPr="00540074" w:rsidRDefault="00097D66" w:rsidP="00AE3692">
                <w:pPr>
                  <w:pStyle w:val="TOC2"/>
                  <w:rPr>
                    <w:sz w:val="20"/>
                  </w:rPr>
                </w:pPr>
                <w:r w:rsidRPr="00540074">
                  <w:rPr>
                    <w:sz w:val="20"/>
                  </w:rPr>
                  <w:t>Percentage of Schools with Ramps 2011/2012 – 2012/2013</w:t>
                </w:r>
              </w:p>
            </w:tc>
            <w:tc>
              <w:tcPr>
                <w:tcW w:w="1578" w:type="dxa"/>
                <w:vAlign w:val="center"/>
              </w:tcPr>
              <w:p w:rsidR="00623C80" w:rsidRPr="00F52154" w:rsidRDefault="00623C80" w:rsidP="00AE3692">
                <w:pPr>
                  <w:jc w:val="center"/>
                  <w:rPr>
                    <w:rFonts w:ascii="Times New Roman" w:hAnsi="Times New Roman" w:cs="Times New Roman"/>
                    <w:b/>
                    <w:bCs/>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43</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0C1591">
                <w:pPr>
                  <w:bidi/>
                  <w:jc w:val="center"/>
                  <w:rPr>
                    <w:rFonts w:ascii="Times New Roman" w:hAnsi="Times New Roman" w:cs="Times New Roman"/>
                    <w:rtl/>
                  </w:rPr>
                </w:pPr>
                <w:r>
                  <w:rPr>
                    <w:rFonts w:ascii="Times New Roman" w:hAnsi="Times New Roman" w:cs="Times New Roman"/>
                  </w:rPr>
                  <w:t>7</w:t>
                </w:r>
                <w:r w:rsidR="000C1591">
                  <w:rPr>
                    <w:rFonts w:ascii="Times New Roman" w:hAnsi="Times New Roman" w:cs="Times New Roman"/>
                  </w:rPr>
                  <w:t>9</w:t>
                </w:r>
              </w:p>
            </w:tc>
            <w:tc>
              <w:tcPr>
                <w:tcW w:w="6237" w:type="dxa"/>
                <w:vAlign w:val="center"/>
              </w:tcPr>
              <w:p w:rsidR="00623C80" w:rsidRPr="00540074" w:rsidRDefault="00097D66" w:rsidP="00540074">
                <w:pPr>
                  <w:pStyle w:val="TOC2"/>
                  <w:jc w:val="both"/>
                  <w:rPr>
                    <w:sz w:val="20"/>
                    <w:rtl/>
                  </w:rPr>
                </w:pPr>
                <w:r w:rsidRPr="00540074">
                  <w:rPr>
                    <w:sz w:val="20"/>
                  </w:rPr>
                  <w:t xml:space="preserve">Percentage of Schools </w:t>
                </w:r>
                <w:proofErr w:type="spellStart"/>
                <w:r w:rsidRPr="00540074">
                  <w:rPr>
                    <w:sz w:val="20"/>
                  </w:rPr>
                  <w:t>wehre</w:t>
                </w:r>
                <w:proofErr w:type="spellEnd"/>
                <w:r w:rsidRPr="00540074">
                  <w:rPr>
                    <w:sz w:val="20"/>
                  </w:rPr>
                  <w:t xml:space="preserve"> Accessible Toilets are Available for Children with Disabilities 2012/2013</w:t>
                </w:r>
              </w:p>
            </w:tc>
            <w:tc>
              <w:tcPr>
                <w:tcW w:w="1578" w:type="dxa"/>
                <w:vAlign w:val="center"/>
              </w:tcPr>
              <w:p w:rsidR="00623C80" w:rsidRPr="00AE3692" w:rsidRDefault="00623C80" w:rsidP="00EF6BDE">
                <w:pPr>
                  <w:jc w:val="center"/>
                  <w:rPr>
                    <w:rFonts w:ascii="Times New Roman" w:hAnsi="Times New Roman" w:cs="Times New Roman"/>
                    <w:b/>
                    <w:bCs/>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44</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1</w:t>
                </w:r>
              </w:p>
            </w:tc>
            <w:tc>
              <w:tcPr>
                <w:tcW w:w="6237" w:type="dxa"/>
                <w:vAlign w:val="center"/>
              </w:tcPr>
              <w:p w:rsidR="00623C80" w:rsidRPr="00540074" w:rsidRDefault="00B8703C" w:rsidP="00540074">
                <w:pPr>
                  <w:pStyle w:val="TOC2"/>
                  <w:jc w:val="both"/>
                  <w:rPr>
                    <w:sz w:val="20"/>
                  </w:rPr>
                </w:pPr>
                <w:r w:rsidRPr="00B8703C">
                  <w:rPr>
                    <w:sz w:val="20"/>
                  </w:rPr>
                  <w:t>Percentage of Households by Monitoring the Number of Daily Hours of Internet Usage for Children (age 15-17 years) by Region, 2014</w:t>
                </w:r>
              </w:p>
            </w:tc>
            <w:tc>
              <w:tcPr>
                <w:tcW w:w="1578" w:type="dxa"/>
                <w:vAlign w:val="center"/>
              </w:tcPr>
              <w:p w:rsidR="00623C80" w:rsidRPr="00AE3692" w:rsidRDefault="00623C80" w:rsidP="00EF6BDE">
                <w:pPr>
                  <w:jc w:val="center"/>
                  <w:rPr>
                    <w:rFonts w:ascii="Times New Roman" w:hAnsi="Times New Roman" w:cs="Times New Roman"/>
                    <w:b/>
                    <w:bCs/>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45</w:t>
                </w:r>
                <w:r w:rsidR="00CB0068">
                  <w:rPr>
                    <w:rFonts w:ascii="Times New Roman" w:hAnsi="Times New Roman" w:cs="Times New Roman"/>
                    <w:b/>
                    <w:bCs/>
                    <w:sz w:val="20"/>
                    <w:szCs w:val="20"/>
                  </w:rPr>
                  <w:t>:</w:t>
                </w:r>
              </w:p>
            </w:tc>
          </w:tr>
          <w:tr w:rsidR="00623C80" w:rsidRPr="00540074" w:rsidTr="00AE3692">
            <w:trPr>
              <w:trHeight w:val="284"/>
              <w:jc w:val="center"/>
            </w:trPr>
            <w:tc>
              <w:tcPr>
                <w:tcW w:w="1250" w:type="dxa"/>
                <w:vAlign w:val="center"/>
              </w:tcPr>
              <w:p w:rsidR="00623C80"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2</w:t>
                </w:r>
              </w:p>
            </w:tc>
            <w:tc>
              <w:tcPr>
                <w:tcW w:w="6237" w:type="dxa"/>
                <w:vAlign w:val="center"/>
              </w:tcPr>
              <w:p w:rsidR="00623C80" w:rsidRPr="00540074" w:rsidRDefault="00097D66" w:rsidP="00540074">
                <w:pPr>
                  <w:pStyle w:val="TOC2"/>
                  <w:jc w:val="both"/>
                  <w:rPr>
                    <w:sz w:val="20"/>
                  </w:rPr>
                </w:pPr>
                <w:r w:rsidRPr="00540074">
                  <w:rPr>
                    <w:sz w:val="20"/>
                  </w:rPr>
                  <w:t>Distribution of Households by Monitoring the Number of Daily Hours of Watching Television by Children Aged 5-17 Years, Region and Type of Locality, 2014</w:t>
                </w:r>
              </w:p>
            </w:tc>
            <w:tc>
              <w:tcPr>
                <w:tcW w:w="1578" w:type="dxa"/>
              </w:tcPr>
              <w:p w:rsidR="00623C80" w:rsidRPr="00AE3692" w:rsidRDefault="00623C80" w:rsidP="00AE3692">
                <w:pPr>
                  <w:jc w:val="center"/>
                  <w:rPr>
                    <w:rFonts w:ascii="Times New Roman" w:hAnsi="Times New Roman" w:cs="Times New Roman"/>
                    <w:b/>
                    <w:bCs/>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46</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2</w:t>
                </w:r>
              </w:p>
            </w:tc>
            <w:tc>
              <w:tcPr>
                <w:tcW w:w="6237" w:type="dxa"/>
                <w:vAlign w:val="center"/>
              </w:tcPr>
              <w:p w:rsidR="00623C80" w:rsidRPr="00540074" w:rsidRDefault="00097D66" w:rsidP="00303617">
                <w:pPr>
                  <w:pStyle w:val="TOC2"/>
                  <w:jc w:val="both"/>
                  <w:rPr>
                    <w:sz w:val="20"/>
                  </w:rPr>
                </w:pPr>
                <w:r w:rsidRPr="00540074">
                  <w:rPr>
                    <w:sz w:val="20"/>
                  </w:rPr>
                  <w:t>Percentage</w:t>
                </w:r>
                <w:r w:rsidR="00303617" w:rsidRPr="00540074">
                  <w:rPr>
                    <w:sz w:val="20"/>
                  </w:rPr>
                  <w:t xml:space="preserve"> Distribution</w:t>
                </w:r>
                <w:r w:rsidRPr="00540074">
                  <w:rPr>
                    <w:sz w:val="20"/>
                  </w:rPr>
                  <w:t xml:space="preserve"> of Children (10-17 years) using Internet per Use of Social Media and S</w:t>
                </w:r>
                <w:r w:rsidR="00303617">
                  <w:rPr>
                    <w:sz w:val="20"/>
                  </w:rPr>
                  <w:t>elected</w:t>
                </w:r>
                <w:r w:rsidRPr="00540074">
                  <w:rPr>
                    <w:sz w:val="20"/>
                  </w:rPr>
                  <w:t xml:space="preserve"> Background Characteristics, 2014</w:t>
                </w:r>
              </w:p>
            </w:tc>
            <w:tc>
              <w:tcPr>
                <w:tcW w:w="1578" w:type="dxa"/>
                <w:vAlign w:val="center"/>
              </w:tcPr>
              <w:p w:rsidR="00623C80" w:rsidRPr="00AE3692" w:rsidRDefault="00623C80" w:rsidP="00EF6BDE">
                <w:pPr>
                  <w:jc w:val="center"/>
                  <w:rPr>
                    <w:rFonts w:ascii="Times New Roman" w:hAnsi="Times New Roman" w:cs="Times New Roman"/>
                    <w:b/>
                    <w:bCs/>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47</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3</w:t>
                </w:r>
              </w:p>
            </w:tc>
            <w:tc>
              <w:tcPr>
                <w:tcW w:w="6237" w:type="dxa"/>
                <w:vAlign w:val="center"/>
              </w:tcPr>
              <w:p w:rsidR="00623C80" w:rsidRPr="00540074" w:rsidRDefault="00097D66" w:rsidP="00540074">
                <w:pPr>
                  <w:pStyle w:val="TOC2"/>
                  <w:jc w:val="both"/>
                  <w:rPr>
                    <w:sz w:val="20"/>
                  </w:rPr>
                </w:pPr>
                <w:r w:rsidRPr="00540074">
                  <w:rPr>
                    <w:sz w:val="20"/>
                  </w:rPr>
                  <w:t>Percentage of Children (10-17 years) Who Use Social Media Per Type of Use and Region</w:t>
                </w:r>
              </w:p>
            </w:tc>
            <w:tc>
              <w:tcPr>
                <w:tcW w:w="1578" w:type="dxa"/>
                <w:vAlign w:val="center"/>
              </w:tcPr>
              <w:p w:rsidR="00623C80" w:rsidRPr="00AE3692" w:rsidRDefault="00623C80" w:rsidP="00EF6BDE">
                <w:pPr>
                  <w:jc w:val="center"/>
                  <w:rPr>
                    <w:rFonts w:ascii="Times New Roman" w:hAnsi="Times New Roman" w:cs="Times New Roman"/>
                    <w:b/>
                    <w:bCs/>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48</w:t>
                </w:r>
                <w:r w:rsidR="00CB0068">
                  <w:rPr>
                    <w:rFonts w:ascii="Times New Roman" w:hAnsi="Times New Roman" w:cs="Times New Roman"/>
                    <w:b/>
                    <w:bCs/>
                    <w:sz w:val="20"/>
                    <w:szCs w:val="20"/>
                  </w:rPr>
                  <w:t>:</w:t>
                </w:r>
              </w:p>
            </w:tc>
          </w:tr>
          <w:tr w:rsidR="00623C80" w:rsidRPr="00540074" w:rsidTr="00AE3692">
            <w:trPr>
              <w:trHeight w:val="284"/>
              <w:jc w:val="center"/>
            </w:trPr>
            <w:tc>
              <w:tcPr>
                <w:tcW w:w="1250" w:type="dxa"/>
                <w:vAlign w:val="center"/>
              </w:tcPr>
              <w:p w:rsidR="00623C80"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5</w:t>
                </w:r>
              </w:p>
            </w:tc>
            <w:tc>
              <w:tcPr>
                <w:tcW w:w="6237" w:type="dxa"/>
              </w:tcPr>
              <w:p w:rsidR="00623C80" w:rsidRPr="00540074" w:rsidRDefault="00097D66" w:rsidP="00AE3692">
                <w:pPr>
                  <w:pStyle w:val="TOC2"/>
                  <w:rPr>
                    <w:sz w:val="20"/>
                  </w:rPr>
                </w:pPr>
                <w:r w:rsidRPr="00540074">
                  <w:rPr>
                    <w:sz w:val="20"/>
                  </w:rPr>
                  <w:t>EDCI according to Wealth, 2014</w:t>
                </w:r>
              </w:p>
            </w:tc>
            <w:tc>
              <w:tcPr>
                <w:tcW w:w="1578" w:type="dxa"/>
                <w:vAlign w:val="center"/>
              </w:tcPr>
              <w:p w:rsidR="00623C80" w:rsidRPr="00AE3692" w:rsidRDefault="00623C80" w:rsidP="00EF6BDE">
                <w:pPr>
                  <w:jc w:val="center"/>
                  <w:rPr>
                    <w:rFonts w:ascii="Times New Roman" w:hAnsi="Times New Roman" w:cs="Times New Roman"/>
                    <w:b/>
                    <w:bCs/>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49</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6</w:t>
                </w:r>
              </w:p>
            </w:tc>
            <w:tc>
              <w:tcPr>
                <w:tcW w:w="6237" w:type="dxa"/>
                <w:vAlign w:val="center"/>
              </w:tcPr>
              <w:p w:rsidR="00623C80" w:rsidRPr="00540074" w:rsidRDefault="00097D66" w:rsidP="00540074">
                <w:pPr>
                  <w:pStyle w:val="TOC2"/>
                  <w:jc w:val="both"/>
                  <w:rPr>
                    <w:sz w:val="20"/>
                  </w:rPr>
                </w:pPr>
                <w:r w:rsidRPr="00540074">
                  <w:rPr>
                    <w:sz w:val="20"/>
                  </w:rPr>
                  <w:t>Indicator of Early Childhood Development by Type of Locality, Gender and Region, 2014</w:t>
                </w:r>
              </w:p>
            </w:tc>
            <w:tc>
              <w:tcPr>
                <w:tcW w:w="1578" w:type="dxa"/>
                <w:vAlign w:val="center"/>
              </w:tcPr>
              <w:p w:rsidR="00623C80" w:rsidRPr="00AE3692" w:rsidRDefault="00623C80" w:rsidP="00EF6BDE">
                <w:pPr>
                  <w:jc w:val="center"/>
                  <w:rPr>
                    <w:rFonts w:ascii="Times New Roman" w:hAnsi="Times New Roman" w:cs="Times New Roman"/>
                    <w:b/>
                    <w:bCs/>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50</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6</w:t>
                </w:r>
              </w:p>
            </w:tc>
            <w:tc>
              <w:tcPr>
                <w:tcW w:w="6237" w:type="dxa"/>
                <w:vAlign w:val="center"/>
              </w:tcPr>
              <w:p w:rsidR="00623C80" w:rsidRPr="00540074" w:rsidRDefault="00097D66" w:rsidP="00540074">
                <w:pPr>
                  <w:pStyle w:val="TOC2"/>
                  <w:jc w:val="both"/>
                  <w:rPr>
                    <w:sz w:val="20"/>
                  </w:rPr>
                </w:pPr>
                <w:r w:rsidRPr="00540074">
                  <w:rPr>
                    <w:sz w:val="20"/>
                  </w:rPr>
                  <w:t>Indicator of Early Childhood Development by Pre-School Enrollment and Age, 2014</w:t>
                </w:r>
              </w:p>
            </w:tc>
            <w:tc>
              <w:tcPr>
                <w:tcW w:w="1578" w:type="dxa"/>
                <w:vAlign w:val="center"/>
              </w:tcPr>
              <w:p w:rsidR="00623C80" w:rsidRPr="00AE3692" w:rsidRDefault="00623C80" w:rsidP="00EF6BDE">
                <w:pPr>
                  <w:jc w:val="center"/>
                  <w:rPr>
                    <w:rFonts w:ascii="Times New Roman" w:hAnsi="Times New Roman" w:cs="Times New Roman"/>
                    <w:b/>
                    <w:bCs/>
                    <w:sz w:val="20"/>
                    <w:szCs w:val="20"/>
                  </w:rPr>
                </w:pPr>
                <w:r w:rsidRPr="00540074">
                  <w:rPr>
                    <w:rFonts w:ascii="Times New Roman" w:hAnsi="Times New Roman" w:cs="Times New Roman"/>
                    <w:b/>
                    <w:bCs/>
                    <w:sz w:val="20"/>
                    <w:szCs w:val="20"/>
                  </w:rPr>
                  <w:t xml:space="preserve">Figure </w:t>
                </w:r>
                <w:r w:rsidR="00A91ACD" w:rsidRPr="00540074">
                  <w:rPr>
                    <w:rFonts w:ascii="Times New Roman" w:hAnsi="Times New Roman" w:cs="Times New Roman"/>
                    <w:b/>
                    <w:bCs/>
                    <w:sz w:val="20"/>
                    <w:szCs w:val="20"/>
                  </w:rPr>
                  <w:t>51</w:t>
                </w:r>
                <w:r w:rsidR="00CB0068">
                  <w:rPr>
                    <w:rFonts w:ascii="Times New Roman" w:hAnsi="Times New Roman" w:cs="Times New Roman"/>
                    <w:b/>
                    <w:bCs/>
                    <w:sz w:val="20"/>
                    <w:szCs w:val="20"/>
                  </w:rPr>
                  <w:t>:</w:t>
                </w:r>
              </w:p>
            </w:tc>
          </w:tr>
          <w:tr w:rsidR="00623C80" w:rsidRPr="00540074" w:rsidTr="00CA7FFA">
            <w:trPr>
              <w:trHeight w:val="284"/>
              <w:jc w:val="center"/>
            </w:trPr>
            <w:tc>
              <w:tcPr>
                <w:tcW w:w="1250" w:type="dxa"/>
                <w:vAlign w:val="center"/>
              </w:tcPr>
              <w:p w:rsidR="00623C80"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6</w:t>
                </w:r>
              </w:p>
            </w:tc>
            <w:tc>
              <w:tcPr>
                <w:tcW w:w="6237" w:type="dxa"/>
                <w:vAlign w:val="center"/>
              </w:tcPr>
              <w:p w:rsidR="00623C80" w:rsidRPr="00540074" w:rsidRDefault="00097D66" w:rsidP="00540074">
                <w:pPr>
                  <w:pStyle w:val="TOC2"/>
                  <w:jc w:val="both"/>
                  <w:rPr>
                    <w:sz w:val="20"/>
                  </w:rPr>
                </w:pPr>
                <w:r w:rsidRPr="00540074">
                  <w:rPr>
                    <w:sz w:val="20"/>
                  </w:rPr>
                  <w:t>Indicator of Early Childhood Development by Wealth Indicator and Maternal Education, 2014</w:t>
                </w:r>
              </w:p>
            </w:tc>
            <w:tc>
              <w:tcPr>
                <w:tcW w:w="1578" w:type="dxa"/>
                <w:vAlign w:val="center"/>
              </w:tcPr>
              <w:p w:rsidR="00623C80" w:rsidRPr="00540074" w:rsidRDefault="00623C80" w:rsidP="00EF6BDE">
                <w:pPr>
                  <w:jc w:val="center"/>
                  <w:rPr>
                    <w:rFonts w:ascii="Times New Roman" w:hAnsi="Times New Roman" w:cs="Times New Roman"/>
                    <w:sz w:val="20"/>
                    <w:szCs w:val="20"/>
                  </w:rPr>
                </w:pPr>
                <w:r w:rsidRPr="00540074">
                  <w:rPr>
                    <w:rFonts w:ascii="Times New Roman" w:hAnsi="Times New Roman" w:cs="Times New Roman"/>
                    <w:b/>
                    <w:bCs/>
                    <w:sz w:val="20"/>
                    <w:szCs w:val="20"/>
                  </w:rPr>
                  <w:t>Figure</w:t>
                </w:r>
                <w:r w:rsidR="00CB0068">
                  <w:rPr>
                    <w:rFonts w:ascii="Times New Roman" w:hAnsi="Times New Roman" w:cs="Times New Roman"/>
                    <w:b/>
                    <w:bCs/>
                    <w:sz w:val="20"/>
                    <w:szCs w:val="20"/>
                  </w:rPr>
                  <w:t xml:space="preserve"> </w:t>
                </w:r>
                <w:r w:rsidR="00A91ACD" w:rsidRPr="00540074">
                  <w:rPr>
                    <w:rFonts w:ascii="Times New Roman" w:hAnsi="Times New Roman" w:cs="Times New Roman"/>
                    <w:b/>
                    <w:bCs/>
                    <w:sz w:val="20"/>
                    <w:szCs w:val="20"/>
                  </w:rPr>
                  <w:t>52</w:t>
                </w:r>
                <w:r w:rsidR="00CB0068">
                  <w:rPr>
                    <w:rFonts w:ascii="Times New Roman" w:hAnsi="Times New Roman" w:cs="Times New Roman"/>
                    <w:b/>
                    <w:bCs/>
                    <w:sz w:val="20"/>
                    <w:szCs w:val="20"/>
                  </w:rPr>
                  <w:t>:</w:t>
                </w:r>
              </w:p>
            </w:tc>
          </w:tr>
          <w:tr w:rsidR="00623C80" w:rsidRPr="00540074" w:rsidTr="006D7550">
            <w:trPr>
              <w:trHeight w:val="284"/>
              <w:jc w:val="center"/>
            </w:trPr>
            <w:tc>
              <w:tcPr>
                <w:tcW w:w="1250" w:type="dxa"/>
                <w:vAlign w:val="center"/>
              </w:tcPr>
              <w:p w:rsidR="00623C80" w:rsidRPr="00540074" w:rsidRDefault="00623C80" w:rsidP="00116C07">
                <w:pPr>
                  <w:bidi/>
                  <w:jc w:val="center"/>
                  <w:rPr>
                    <w:rFonts w:ascii="Times New Roman" w:hAnsi="Times New Roman" w:cs="Times New Roman"/>
                    <w:rtl/>
                  </w:rPr>
                </w:pPr>
              </w:p>
            </w:tc>
            <w:tc>
              <w:tcPr>
                <w:tcW w:w="6237" w:type="dxa"/>
                <w:vAlign w:val="center"/>
              </w:tcPr>
              <w:p w:rsidR="00623C80" w:rsidRPr="00540074" w:rsidRDefault="00623C80" w:rsidP="00A87D4C">
                <w:pPr>
                  <w:pStyle w:val="TOC2"/>
                  <w:rPr>
                    <w:sz w:val="20"/>
                    <w:rtl/>
                  </w:rPr>
                </w:pPr>
              </w:p>
            </w:tc>
            <w:tc>
              <w:tcPr>
                <w:tcW w:w="1578" w:type="dxa"/>
              </w:tcPr>
              <w:p w:rsidR="00623C80" w:rsidRPr="00540074" w:rsidRDefault="00623C80" w:rsidP="00A91ACD">
                <w:pPr>
                  <w:rPr>
                    <w:rFonts w:ascii="Times New Roman" w:hAnsi="Times New Roman" w:cs="Times New Roman"/>
                  </w:rPr>
                </w:pPr>
              </w:p>
            </w:tc>
          </w:tr>
          <w:tr w:rsidR="00623C80" w:rsidRPr="00540074" w:rsidTr="006D7550">
            <w:trPr>
              <w:trHeight w:val="284"/>
              <w:jc w:val="center"/>
            </w:trPr>
            <w:tc>
              <w:tcPr>
                <w:tcW w:w="1250" w:type="dxa"/>
                <w:vAlign w:val="center"/>
              </w:tcPr>
              <w:p w:rsidR="00623C80" w:rsidRPr="00540074" w:rsidRDefault="00623C80" w:rsidP="00116C07">
                <w:pPr>
                  <w:bidi/>
                  <w:jc w:val="center"/>
                  <w:rPr>
                    <w:rFonts w:ascii="Times New Roman" w:hAnsi="Times New Roman" w:cs="Times New Roman"/>
                    <w:rtl/>
                  </w:rPr>
                </w:pPr>
              </w:p>
            </w:tc>
            <w:tc>
              <w:tcPr>
                <w:tcW w:w="6237" w:type="dxa"/>
                <w:vAlign w:val="center"/>
              </w:tcPr>
              <w:p w:rsidR="00623C80" w:rsidRPr="00540074" w:rsidRDefault="00623C80" w:rsidP="00A87D4C">
                <w:pPr>
                  <w:pStyle w:val="TOC2"/>
                  <w:rPr>
                    <w:sz w:val="20"/>
                    <w:rtl/>
                  </w:rPr>
                </w:pPr>
              </w:p>
            </w:tc>
            <w:tc>
              <w:tcPr>
                <w:tcW w:w="1578" w:type="dxa"/>
              </w:tcPr>
              <w:p w:rsidR="00623C80" w:rsidRPr="00540074" w:rsidRDefault="00623C80" w:rsidP="00A91ACD">
                <w:pPr>
                  <w:rPr>
                    <w:rFonts w:ascii="Times New Roman" w:hAnsi="Times New Roman" w:cs="Times New Roman"/>
                  </w:rPr>
                </w:pPr>
              </w:p>
            </w:tc>
          </w:tr>
          <w:tr w:rsidR="00623C80" w:rsidRPr="00540074" w:rsidTr="006D7550">
            <w:trPr>
              <w:trHeight w:val="284"/>
              <w:jc w:val="center"/>
            </w:trPr>
            <w:tc>
              <w:tcPr>
                <w:tcW w:w="1250" w:type="dxa"/>
                <w:vAlign w:val="center"/>
              </w:tcPr>
              <w:p w:rsidR="00623C80" w:rsidRPr="00540074" w:rsidRDefault="00623C80" w:rsidP="00116C07">
                <w:pPr>
                  <w:bidi/>
                  <w:jc w:val="center"/>
                  <w:rPr>
                    <w:rFonts w:ascii="Times New Roman" w:hAnsi="Times New Roman" w:cs="Times New Roman"/>
                    <w:rtl/>
                  </w:rPr>
                </w:pPr>
              </w:p>
            </w:tc>
            <w:tc>
              <w:tcPr>
                <w:tcW w:w="6237" w:type="dxa"/>
                <w:vAlign w:val="center"/>
              </w:tcPr>
              <w:p w:rsidR="00623C80" w:rsidRPr="00540074" w:rsidRDefault="00623C80" w:rsidP="00A87D4C">
                <w:pPr>
                  <w:pStyle w:val="TOC2"/>
                  <w:rPr>
                    <w:sz w:val="20"/>
                  </w:rPr>
                </w:pPr>
              </w:p>
            </w:tc>
            <w:tc>
              <w:tcPr>
                <w:tcW w:w="1578" w:type="dxa"/>
              </w:tcPr>
              <w:p w:rsidR="00623C80" w:rsidRPr="00540074" w:rsidRDefault="00623C80" w:rsidP="00A91ACD">
                <w:pPr>
                  <w:rPr>
                    <w:rFonts w:ascii="Times New Roman" w:hAnsi="Times New Roman" w:cs="Times New Roman"/>
                  </w:rPr>
                </w:pPr>
              </w:p>
            </w:tc>
          </w:tr>
          <w:tr w:rsidR="00623C80" w:rsidRPr="00540074" w:rsidTr="006D7550">
            <w:trPr>
              <w:trHeight w:val="284"/>
              <w:jc w:val="center"/>
            </w:trPr>
            <w:tc>
              <w:tcPr>
                <w:tcW w:w="1250" w:type="dxa"/>
                <w:vAlign w:val="center"/>
              </w:tcPr>
              <w:p w:rsidR="00623C80" w:rsidRPr="00540074" w:rsidRDefault="00623C80" w:rsidP="00116C07">
                <w:pPr>
                  <w:bidi/>
                  <w:jc w:val="center"/>
                  <w:rPr>
                    <w:rFonts w:ascii="Times New Roman" w:hAnsi="Times New Roman" w:cs="Times New Roman"/>
                    <w:rtl/>
                  </w:rPr>
                </w:pPr>
              </w:p>
            </w:tc>
            <w:tc>
              <w:tcPr>
                <w:tcW w:w="6237" w:type="dxa"/>
                <w:vAlign w:val="center"/>
              </w:tcPr>
              <w:p w:rsidR="00623C80" w:rsidRPr="00540074" w:rsidRDefault="00623C80" w:rsidP="00A87D4C">
                <w:pPr>
                  <w:pStyle w:val="TOC2"/>
                  <w:rPr>
                    <w:sz w:val="20"/>
                  </w:rPr>
                </w:pPr>
              </w:p>
            </w:tc>
            <w:tc>
              <w:tcPr>
                <w:tcW w:w="1578" w:type="dxa"/>
              </w:tcPr>
              <w:p w:rsidR="00623C80" w:rsidRPr="00540074" w:rsidRDefault="00623C80" w:rsidP="00A91ACD">
                <w:pPr>
                  <w:rPr>
                    <w:rFonts w:ascii="Times New Roman" w:hAnsi="Times New Roman" w:cs="Times New Roman"/>
                  </w:rPr>
                </w:pPr>
              </w:p>
            </w:tc>
          </w:tr>
          <w:tr w:rsidR="00C51171" w:rsidRPr="00540074" w:rsidTr="006D7550">
            <w:trPr>
              <w:trHeight w:val="284"/>
              <w:jc w:val="center"/>
            </w:trPr>
            <w:tc>
              <w:tcPr>
                <w:tcW w:w="1250" w:type="dxa"/>
                <w:vAlign w:val="center"/>
              </w:tcPr>
              <w:p w:rsidR="00C51171" w:rsidRPr="00540074" w:rsidRDefault="00C51171" w:rsidP="00116C07">
                <w:pPr>
                  <w:bidi/>
                  <w:jc w:val="center"/>
                  <w:rPr>
                    <w:rFonts w:ascii="Times New Roman" w:hAnsi="Times New Roman" w:cs="Times New Roman"/>
                    <w:rtl/>
                  </w:rPr>
                </w:pPr>
              </w:p>
            </w:tc>
            <w:tc>
              <w:tcPr>
                <w:tcW w:w="6237" w:type="dxa"/>
                <w:vAlign w:val="center"/>
              </w:tcPr>
              <w:p w:rsidR="00C51171" w:rsidRPr="00540074" w:rsidRDefault="00C51171" w:rsidP="00A87D4C">
                <w:pPr>
                  <w:pStyle w:val="TOC2"/>
                  <w:rPr>
                    <w:sz w:val="20"/>
                  </w:rPr>
                </w:pPr>
              </w:p>
            </w:tc>
            <w:tc>
              <w:tcPr>
                <w:tcW w:w="1578" w:type="dxa"/>
              </w:tcPr>
              <w:p w:rsidR="00C51171" w:rsidRPr="00540074" w:rsidRDefault="00C51171" w:rsidP="006D7550">
                <w:pPr>
                  <w:spacing w:after="100" w:afterAutospacing="1"/>
                  <w:rPr>
                    <w:rFonts w:ascii="Times New Roman" w:hAnsi="Times New Roman" w:cs="Times New Roman"/>
                    <w:sz w:val="20"/>
                    <w:szCs w:val="20"/>
                    <w:rtl/>
                  </w:rPr>
                </w:pPr>
              </w:p>
            </w:tc>
          </w:tr>
        </w:tbl>
        <w:p w:rsidR="006B5D04" w:rsidRPr="00540074" w:rsidRDefault="006B5D04" w:rsidP="008E657F">
          <w:pPr>
            <w:jc w:val="both"/>
            <w:rPr>
              <w:rFonts w:ascii="Times New Roman" w:eastAsia="Times New Roman" w:hAnsi="Times New Roman" w:cs="Times New Roman"/>
              <w:b/>
              <w:bCs/>
              <w:sz w:val="28"/>
              <w:szCs w:val="28"/>
              <w:rtl/>
            </w:rPr>
          </w:pPr>
        </w:p>
        <w:p w:rsidR="0032054D" w:rsidRPr="00540074" w:rsidRDefault="0032054D" w:rsidP="008E657F">
          <w:pPr>
            <w:jc w:val="both"/>
            <w:rPr>
              <w:rFonts w:ascii="Times New Roman" w:hAnsi="Times New Roman" w:cs="Times New Roman"/>
              <w:b/>
              <w:bCs/>
              <w:sz w:val="28"/>
              <w:szCs w:val="28"/>
            </w:rPr>
          </w:pPr>
        </w:p>
        <w:p w:rsidR="0007191B" w:rsidRPr="00540074" w:rsidRDefault="0007191B" w:rsidP="0007191B">
          <w:pPr>
            <w:pStyle w:val="Caption"/>
            <w:bidi w:val="0"/>
            <w:rPr>
              <w:b w:val="0"/>
              <w:bCs w:val="0"/>
              <w:sz w:val="28"/>
              <w:rtl/>
            </w:rPr>
          </w:pPr>
        </w:p>
        <w:p w:rsidR="00D23BBF" w:rsidRPr="00540074" w:rsidRDefault="00D23BBF" w:rsidP="008E657F">
          <w:pPr>
            <w:jc w:val="both"/>
            <w:rPr>
              <w:rFonts w:ascii="Times New Roman" w:eastAsia="Times New Roman" w:hAnsi="Times New Roman" w:cs="Times New Roman"/>
              <w:b/>
              <w:bCs/>
              <w:sz w:val="28"/>
              <w:szCs w:val="28"/>
              <w:rtl/>
            </w:rPr>
          </w:pPr>
        </w:p>
        <w:p w:rsidR="002335E9" w:rsidRPr="00540074" w:rsidRDefault="002335E9" w:rsidP="008E657F">
          <w:pPr>
            <w:jc w:val="both"/>
            <w:rPr>
              <w:rFonts w:ascii="Times New Roman" w:eastAsia="Times New Roman" w:hAnsi="Times New Roman" w:cs="Times New Roman"/>
              <w:b/>
              <w:bCs/>
              <w:sz w:val="28"/>
              <w:szCs w:val="28"/>
              <w:rtl/>
            </w:rPr>
          </w:pPr>
        </w:p>
        <w:p w:rsidR="0061761B" w:rsidRPr="00540074" w:rsidRDefault="0061761B" w:rsidP="008E657F">
          <w:pPr>
            <w:jc w:val="both"/>
            <w:rPr>
              <w:rFonts w:ascii="Times New Roman" w:hAnsi="Times New Roman" w:cs="Times New Roman"/>
              <w:b/>
              <w:bCs/>
              <w:sz w:val="28"/>
              <w:szCs w:val="28"/>
              <w:rtl/>
            </w:rPr>
          </w:pPr>
        </w:p>
        <w:p w:rsidR="006D7550" w:rsidRPr="00540074" w:rsidRDefault="0061761B" w:rsidP="008E657F">
          <w:pPr>
            <w:jc w:val="both"/>
            <w:rPr>
              <w:rFonts w:ascii="Times New Roman" w:eastAsia="Times New Roman" w:hAnsi="Times New Roman" w:cs="Times New Roman"/>
              <w:b/>
              <w:bCs/>
              <w:sz w:val="28"/>
              <w:szCs w:val="28"/>
              <w:rtl/>
            </w:rPr>
          </w:pPr>
          <w:r w:rsidRPr="00540074">
            <w:rPr>
              <w:rFonts w:ascii="Times New Roman" w:hAnsi="Times New Roman" w:cs="Times New Roman"/>
              <w:b/>
              <w:bCs/>
              <w:sz w:val="28"/>
              <w:szCs w:val="28"/>
              <w:rtl/>
            </w:rPr>
            <w:br w:type="page"/>
          </w:r>
        </w:p>
        <w:p w:rsidR="0061761B" w:rsidRPr="00540074" w:rsidRDefault="00875CEB" w:rsidP="00875CEB">
          <w:pPr>
            <w:jc w:val="center"/>
            <w:rPr>
              <w:rFonts w:ascii="Times New Roman" w:hAnsi="Times New Roman" w:cs="Times New Roman"/>
              <w:b/>
              <w:bCs/>
              <w:sz w:val="28"/>
              <w:szCs w:val="28"/>
            </w:rPr>
          </w:pPr>
          <w:r w:rsidRPr="00540074">
            <w:rPr>
              <w:rFonts w:ascii="Times New Roman" w:hAnsi="Times New Roman" w:cs="Times New Roman"/>
              <w:b/>
              <w:bCs/>
              <w:sz w:val="28"/>
              <w:szCs w:val="28"/>
            </w:rPr>
            <w:t>List of Tables</w:t>
          </w:r>
        </w:p>
        <w:tbl>
          <w:tblPr>
            <w:bidiVisual/>
            <w:tblW w:w="0" w:type="auto"/>
            <w:jc w:val="center"/>
            <w:tblLayout w:type="fixed"/>
            <w:tblLook w:val="0000"/>
          </w:tblPr>
          <w:tblGrid>
            <w:gridCol w:w="989"/>
            <w:gridCol w:w="6804"/>
            <w:gridCol w:w="1272"/>
          </w:tblGrid>
          <w:tr w:rsidR="00875CEB" w:rsidRPr="00540074" w:rsidTr="00416934">
            <w:trPr>
              <w:trHeight w:val="428"/>
              <w:tblHeader/>
              <w:jc w:val="center"/>
            </w:trPr>
            <w:tc>
              <w:tcPr>
                <w:tcW w:w="989" w:type="dxa"/>
                <w:tcBorders>
                  <w:top w:val="nil"/>
                  <w:left w:val="nil"/>
                  <w:bottom w:val="nil"/>
                  <w:right w:val="nil"/>
                </w:tcBorders>
                <w:vAlign w:val="center"/>
              </w:tcPr>
              <w:p w:rsidR="00875CEB" w:rsidRPr="00540074" w:rsidRDefault="00DD1CB3" w:rsidP="005A72BA">
                <w:pPr>
                  <w:bidi/>
                  <w:jc w:val="center"/>
                  <w:rPr>
                    <w:rFonts w:ascii="Times New Roman" w:hAnsi="Times New Roman" w:cs="Times New Roman"/>
                    <w:b/>
                    <w:bCs/>
                    <w:rtl/>
                  </w:rPr>
                </w:pPr>
                <w:r>
                  <w:rPr>
                    <w:rFonts w:ascii="Times New Roman" w:hAnsi="Times New Roman" w:cs="Times New Roman"/>
                    <w:b/>
                    <w:bCs/>
                    <w:sz w:val="24"/>
                    <w:szCs w:val="24"/>
                  </w:rPr>
                  <w:t>P</w:t>
                </w:r>
                <w:r w:rsidR="00875CEB" w:rsidRPr="00540074">
                  <w:rPr>
                    <w:rFonts w:ascii="Times New Roman" w:hAnsi="Times New Roman" w:cs="Times New Roman"/>
                    <w:b/>
                    <w:bCs/>
                    <w:sz w:val="24"/>
                    <w:szCs w:val="24"/>
                  </w:rPr>
                  <w:t>age</w:t>
                </w:r>
              </w:p>
            </w:tc>
            <w:tc>
              <w:tcPr>
                <w:tcW w:w="6804" w:type="dxa"/>
                <w:tcBorders>
                  <w:top w:val="nil"/>
                  <w:left w:val="nil"/>
                  <w:bottom w:val="nil"/>
                  <w:right w:val="nil"/>
                </w:tcBorders>
                <w:vAlign w:val="center"/>
              </w:tcPr>
              <w:p w:rsidR="00875CEB" w:rsidRPr="00540074" w:rsidRDefault="00875CEB" w:rsidP="005A72BA">
                <w:pPr>
                  <w:bidi/>
                  <w:jc w:val="center"/>
                  <w:rPr>
                    <w:rFonts w:ascii="Times New Roman" w:hAnsi="Times New Roman" w:cs="Times New Roman"/>
                    <w:b/>
                    <w:bCs/>
                    <w:rtl/>
                  </w:rPr>
                </w:pPr>
              </w:p>
            </w:tc>
            <w:tc>
              <w:tcPr>
                <w:tcW w:w="1272" w:type="dxa"/>
                <w:tcBorders>
                  <w:top w:val="nil"/>
                  <w:left w:val="nil"/>
                  <w:bottom w:val="nil"/>
                  <w:right w:val="nil"/>
                </w:tcBorders>
                <w:vAlign w:val="center"/>
              </w:tcPr>
              <w:p w:rsidR="00875CEB" w:rsidRPr="00540074" w:rsidRDefault="005A72BA" w:rsidP="005A72BA">
                <w:pPr>
                  <w:bidi/>
                  <w:jc w:val="center"/>
                  <w:rPr>
                    <w:rFonts w:ascii="Times New Roman" w:hAnsi="Times New Roman" w:cs="Times New Roman"/>
                    <w:b/>
                    <w:bCs/>
                    <w:sz w:val="24"/>
                    <w:szCs w:val="24"/>
                    <w:rtl/>
                  </w:rPr>
                </w:pPr>
                <w:r w:rsidRPr="00540074">
                  <w:rPr>
                    <w:rFonts w:ascii="Times New Roman" w:hAnsi="Times New Roman" w:cs="Times New Roman"/>
                    <w:b/>
                    <w:bCs/>
                    <w:sz w:val="24"/>
                    <w:szCs w:val="24"/>
                  </w:rPr>
                  <w:t>Table</w:t>
                </w:r>
              </w:p>
            </w:tc>
          </w:tr>
          <w:tr w:rsidR="00875CEB" w:rsidRPr="00540074" w:rsidTr="00416934">
            <w:trPr>
              <w:trHeight w:hRule="exact" w:val="113"/>
              <w:jc w:val="center"/>
            </w:trPr>
            <w:tc>
              <w:tcPr>
                <w:tcW w:w="989" w:type="dxa"/>
                <w:tcBorders>
                  <w:top w:val="nil"/>
                  <w:left w:val="nil"/>
                  <w:bottom w:val="nil"/>
                  <w:right w:val="nil"/>
                </w:tcBorders>
                <w:vAlign w:val="center"/>
              </w:tcPr>
              <w:p w:rsidR="00875CEB" w:rsidRPr="00540074" w:rsidRDefault="00875CEB" w:rsidP="004F7AAB">
                <w:pPr>
                  <w:bidi/>
                  <w:rPr>
                    <w:rFonts w:ascii="Times New Roman" w:hAnsi="Times New Roman" w:cs="Times New Roman"/>
                    <w:rtl/>
                  </w:rPr>
                </w:pPr>
              </w:p>
            </w:tc>
            <w:tc>
              <w:tcPr>
                <w:tcW w:w="6804" w:type="dxa"/>
                <w:tcBorders>
                  <w:top w:val="nil"/>
                  <w:left w:val="nil"/>
                  <w:bottom w:val="nil"/>
                  <w:right w:val="nil"/>
                </w:tcBorders>
              </w:tcPr>
              <w:p w:rsidR="00875CEB" w:rsidRPr="00540074" w:rsidRDefault="00875CEB" w:rsidP="004F7AAB">
                <w:pPr>
                  <w:pStyle w:val="Heading5"/>
                  <w:keepNext w:val="0"/>
                  <w:jc w:val="lowKashida"/>
                  <w:rPr>
                    <w:sz w:val="24"/>
                    <w:szCs w:val="24"/>
                    <w:rtl/>
                  </w:rPr>
                </w:pPr>
              </w:p>
            </w:tc>
            <w:tc>
              <w:tcPr>
                <w:tcW w:w="1272" w:type="dxa"/>
                <w:tcBorders>
                  <w:top w:val="nil"/>
                  <w:left w:val="nil"/>
                  <w:bottom w:val="nil"/>
                  <w:right w:val="nil"/>
                </w:tcBorders>
                <w:vAlign w:val="center"/>
              </w:tcPr>
              <w:p w:rsidR="00875CEB" w:rsidRPr="00540074" w:rsidRDefault="00875CEB" w:rsidP="004F7AAB">
                <w:pPr>
                  <w:pStyle w:val="Heading2"/>
                  <w:keepNext w:val="0"/>
                  <w:ind w:firstLine="241"/>
                  <w:rPr>
                    <w:rFonts w:ascii="Times New Roman" w:hAnsi="Times New Roman" w:cs="Times New Roman"/>
                    <w:sz w:val="24"/>
                    <w:szCs w:val="24"/>
                  </w:rPr>
                </w:pPr>
              </w:p>
            </w:tc>
          </w:tr>
          <w:tr w:rsidR="00875CEB" w:rsidRPr="00540074" w:rsidTr="00011226">
            <w:trPr>
              <w:trHeight w:val="284"/>
              <w:jc w:val="center"/>
            </w:trPr>
            <w:tc>
              <w:tcPr>
                <w:tcW w:w="989" w:type="dxa"/>
                <w:tcBorders>
                  <w:top w:val="nil"/>
                  <w:left w:val="nil"/>
                  <w:bottom w:val="nil"/>
                  <w:right w:val="nil"/>
                </w:tcBorders>
                <w:vAlign w:val="center"/>
              </w:tcPr>
              <w:p w:rsidR="00875CEB" w:rsidRPr="00540074" w:rsidRDefault="0072693D" w:rsidP="00624997">
                <w:pPr>
                  <w:bidi/>
                  <w:jc w:val="center"/>
                  <w:rPr>
                    <w:rFonts w:ascii="Times New Roman" w:hAnsi="Times New Roman" w:cs="Times New Roman"/>
                    <w:rtl/>
                  </w:rPr>
                </w:pPr>
                <w:r>
                  <w:rPr>
                    <w:rFonts w:ascii="Times New Roman" w:hAnsi="Times New Roman" w:cs="Times New Roman"/>
                  </w:rPr>
                  <w:t>4</w:t>
                </w:r>
                <w:r w:rsidR="00624997">
                  <w:rPr>
                    <w:rFonts w:ascii="Times New Roman" w:hAnsi="Times New Roman" w:cs="Times New Roman"/>
                  </w:rPr>
                  <w:t>2</w:t>
                </w:r>
              </w:p>
            </w:tc>
            <w:tc>
              <w:tcPr>
                <w:tcW w:w="6804" w:type="dxa"/>
                <w:tcBorders>
                  <w:top w:val="nil"/>
                  <w:left w:val="nil"/>
                  <w:bottom w:val="nil"/>
                  <w:right w:val="nil"/>
                </w:tcBorders>
                <w:vAlign w:val="center"/>
              </w:tcPr>
              <w:p w:rsidR="00875CEB" w:rsidRPr="00540074" w:rsidRDefault="00A85C7D" w:rsidP="004F7AAB">
                <w:pPr>
                  <w:pStyle w:val="TOC2"/>
                  <w:rPr>
                    <w:sz w:val="20"/>
                    <w:szCs w:val="18"/>
                    <w:rtl/>
                  </w:rPr>
                </w:pPr>
                <w:r w:rsidRPr="00540074">
                  <w:rPr>
                    <w:sz w:val="20"/>
                    <w:szCs w:val="18"/>
                  </w:rPr>
                  <w:t>Percentage of Schools by Main Source of Water, Electricity and Wastewater Drainage in 2012/2013</w:t>
                </w:r>
              </w:p>
            </w:tc>
            <w:tc>
              <w:tcPr>
                <w:tcW w:w="1272" w:type="dxa"/>
                <w:tcBorders>
                  <w:top w:val="nil"/>
                  <w:left w:val="nil"/>
                  <w:bottom w:val="nil"/>
                  <w:right w:val="nil"/>
                </w:tcBorders>
              </w:tcPr>
              <w:p w:rsidR="00875CEB" w:rsidRPr="00011226" w:rsidRDefault="00A85C7D" w:rsidP="00011226">
                <w:pPr>
                  <w:jc w:val="center"/>
                  <w:rPr>
                    <w:rFonts w:ascii="Times New Roman" w:hAnsi="Times New Roman" w:cs="Times New Roman"/>
                    <w:b/>
                    <w:bCs/>
                    <w:sz w:val="20"/>
                    <w:szCs w:val="18"/>
                  </w:rPr>
                </w:pPr>
                <w:r w:rsidRPr="00595C40">
                  <w:rPr>
                    <w:rFonts w:ascii="Times New Roman" w:hAnsi="Times New Roman" w:cs="Times New Roman"/>
                    <w:b/>
                    <w:bCs/>
                    <w:sz w:val="20"/>
                    <w:szCs w:val="18"/>
                  </w:rPr>
                  <w:t>Table 1:</w:t>
                </w:r>
              </w:p>
            </w:tc>
          </w:tr>
          <w:tr w:rsidR="00875CEB" w:rsidRPr="00540074" w:rsidTr="00011226">
            <w:trPr>
              <w:trHeight w:val="284"/>
              <w:jc w:val="center"/>
            </w:trPr>
            <w:tc>
              <w:tcPr>
                <w:tcW w:w="989" w:type="dxa"/>
                <w:tcBorders>
                  <w:top w:val="nil"/>
                  <w:left w:val="nil"/>
                  <w:bottom w:val="nil"/>
                  <w:right w:val="nil"/>
                </w:tcBorders>
                <w:vAlign w:val="center"/>
              </w:tcPr>
              <w:p w:rsidR="00875CEB" w:rsidRPr="00540074" w:rsidRDefault="0072693D" w:rsidP="00116C07">
                <w:pPr>
                  <w:bidi/>
                  <w:jc w:val="center"/>
                  <w:rPr>
                    <w:rFonts w:ascii="Times New Roman" w:hAnsi="Times New Roman" w:cs="Times New Roman"/>
                    <w:rtl/>
                  </w:rPr>
                </w:pPr>
                <w:r>
                  <w:rPr>
                    <w:rFonts w:ascii="Times New Roman" w:hAnsi="Times New Roman" w:cs="Times New Roman"/>
                  </w:rPr>
                  <w:t>44</w:t>
                </w:r>
              </w:p>
            </w:tc>
            <w:tc>
              <w:tcPr>
                <w:tcW w:w="6804" w:type="dxa"/>
                <w:tcBorders>
                  <w:top w:val="nil"/>
                  <w:left w:val="nil"/>
                  <w:bottom w:val="nil"/>
                  <w:right w:val="nil"/>
                </w:tcBorders>
              </w:tcPr>
              <w:p w:rsidR="00875CEB" w:rsidRPr="00540074" w:rsidRDefault="00A85C7D" w:rsidP="00011226">
                <w:pPr>
                  <w:pStyle w:val="TOC2"/>
                  <w:rPr>
                    <w:sz w:val="20"/>
                    <w:szCs w:val="18"/>
                    <w:rtl/>
                  </w:rPr>
                </w:pPr>
                <w:r w:rsidRPr="00540074">
                  <w:rPr>
                    <w:sz w:val="20"/>
                    <w:szCs w:val="18"/>
                  </w:rPr>
                  <w:t>Distribution of Schools in Area C by Location, 2012</w:t>
                </w:r>
              </w:p>
            </w:tc>
            <w:tc>
              <w:tcPr>
                <w:tcW w:w="1272" w:type="dxa"/>
                <w:tcBorders>
                  <w:top w:val="nil"/>
                  <w:left w:val="nil"/>
                  <w:bottom w:val="nil"/>
                  <w:right w:val="nil"/>
                </w:tcBorders>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szCs w:val="18"/>
                  </w:rPr>
                  <w:t>Table 2:</w:t>
                </w:r>
              </w:p>
            </w:tc>
          </w:tr>
          <w:tr w:rsidR="00875CEB" w:rsidRPr="00540074" w:rsidTr="00011226">
            <w:trPr>
              <w:trHeight w:val="284"/>
              <w:jc w:val="center"/>
            </w:trPr>
            <w:tc>
              <w:tcPr>
                <w:tcW w:w="989" w:type="dxa"/>
                <w:tcBorders>
                  <w:top w:val="nil"/>
                  <w:left w:val="nil"/>
                  <w:bottom w:val="nil"/>
                  <w:right w:val="nil"/>
                </w:tcBorders>
                <w:vAlign w:val="center"/>
              </w:tcPr>
              <w:p w:rsidR="00875CEB" w:rsidRPr="00540074" w:rsidRDefault="0072693D" w:rsidP="00624997">
                <w:pPr>
                  <w:bidi/>
                  <w:jc w:val="center"/>
                  <w:rPr>
                    <w:rFonts w:ascii="Times New Roman" w:hAnsi="Times New Roman" w:cs="Times New Roman"/>
                    <w:rtl/>
                  </w:rPr>
                </w:pPr>
                <w:r>
                  <w:rPr>
                    <w:rFonts w:ascii="Times New Roman" w:hAnsi="Times New Roman" w:cs="Times New Roman"/>
                  </w:rPr>
                  <w:t>4</w:t>
                </w:r>
                <w:r w:rsidR="00624997">
                  <w:rPr>
                    <w:rFonts w:ascii="Times New Roman" w:hAnsi="Times New Roman" w:cs="Times New Roman"/>
                  </w:rPr>
                  <w:t>4</w:t>
                </w:r>
              </w:p>
            </w:tc>
            <w:tc>
              <w:tcPr>
                <w:tcW w:w="6804" w:type="dxa"/>
                <w:tcBorders>
                  <w:top w:val="nil"/>
                  <w:left w:val="nil"/>
                  <w:bottom w:val="nil"/>
                  <w:right w:val="nil"/>
                </w:tcBorders>
                <w:vAlign w:val="center"/>
              </w:tcPr>
              <w:p w:rsidR="00875CEB" w:rsidRPr="00540074" w:rsidRDefault="00A85C7D" w:rsidP="004F7AAB">
                <w:pPr>
                  <w:pStyle w:val="TOC2"/>
                  <w:rPr>
                    <w:sz w:val="20"/>
                    <w:szCs w:val="18"/>
                    <w:rtl/>
                  </w:rPr>
                </w:pPr>
                <w:r w:rsidRPr="00540074">
                  <w:rPr>
                    <w:sz w:val="20"/>
                    <w:szCs w:val="18"/>
                  </w:rPr>
                  <w:t>Percentage of Students in Public Schools in Area C Experiencing Psychological or Social Problems, 2011-201</w:t>
                </w:r>
              </w:p>
            </w:tc>
            <w:tc>
              <w:tcPr>
                <w:tcW w:w="1272" w:type="dxa"/>
                <w:tcBorders>
                  <w:top w:val="nil"/>
                  <w:left w:val="nil"/>
                  <w:bottom w:val="nil"/>
                  <w:right w:val="nil"/>
                </w:tcBorders>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szCs w:val="18"/>
                  </w:rPr>
                  <w:t>Table 3:</w:t>
                </w:r>
              </w:p>
            </w:tc>
          </w:tr>
          <w:tr w:rsidR="00875CEB" w:rsidRPr="00540074" w:rsidTr="00011226">
            <w:trPr>
              <w:trHeight w:val="284"/>
              <w:jc w:val="center"/>
            </w:trPr>
            <w:tc>
              <w:tcPr>
                <w:tcW w:w="989" w:type="dxa"/>
                <w:tcBorders>
                  <w:top w:val="nil"/>
                  <w:left w:val="nil"/>
                  <w:bottom w:val="nil"/>
                  <w:right w:val="nil"/>
                </w:tcBorders>
                <w:vAlign w:val="center"/>
              </w:tcPr>
              <w:p w:rsidR="00875CEB" w:rsidRPr="00540074" w:rsidRDefault="0072693D" w:rsidP="00624997">
                <w:pPr>
                  <w:bidi/>
                  <w:jc w:val="center"/>
                  <w:rPr>
                    <w:rFonts w:ascii="Times New Roman" w:hAnsi="Times New Roman" w:cs="Times New Roman"/>
                    <w:rtl/>
                  </w:rPr>
                </w:pPr>
                <w:r>
                  <w:rPr>
                    <w:rFonts w:ascii="Times New Roman" w:hAnsi="Times New Roman" w:cs="Times New Roman"/>
                  </w:rPr>
                  <w:t>5</w:t>
                </w:r>
                <w:r w:rsidR="00624997">
                  <w:rPr>
                    <w:rFonts w:ascii="Times New Roman" w:hAnsi="Times New Roman" w:cs="Times New Roman"/>
                  </w:rPr>
                  <w:t>6</w:t>
                </w:r>
              </w:p>
            </w:tc>
            <w:tc>
              <w:tcPr>
                <w:tcW w:w="6804" w:type="dxa"/>
                <w:tcBorders>
                  <w:top w:val="nil"/>
                  <w:left w:val="nil"/>
                  <w:bottom w:val="nil"/>
                  <w:right w:val="nil"/>
                </w:tcBorders>
              </w:tcPr>
              <w:p w:rsidR="00875CEB" w:rsidRPr="00011226" w:rsidRDefault="00A85C7D" w:rsidP="00011226">
                <w:pPr>
                  <w:pStyle w:val="TOC2"/>
                  <w:rPr>
                    <w:sz w:val="20"/>
                    <w:szCs w:val="18"/>
                    <w:rtl/>
                  </w:rPr>
                </w:pPr>
                <w:r w:rsidRPr="00011226">
                  <w:rPr>
                    <w:sz w:val="20"/>
                    <w:szCs w:val="18"/>
                  </w:rPr>
                  <w:t>Number of Injured Children by Gender and Year</w:t>
                </w:r>
              </w:p>
            </w:tc>
            <w:tc>
              <w:tcPr>
                <w:tcW w:w="1272" w:type="dxa"/>
                <w:tcBorders>
                  <w:top w:val="nil"/>
                  <w:left w:val="nil"/>
                  <w:bottom w:val="nil"/>
                  <w:right w:val="nil"/>
                </w:tcBorders>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4:</w:t>
                </w:r>
              </w:p>
            </w:tc>
          </w:tr>
          <w:tr w:rsidR="00875CEB" w:rsidRPr="00540074" w:rsidTr="00011226">
            <w:trPr>
              <w:trHeight w:val="284"/>
              <w:jc w:val="center"/>
            </w:trPr>
            <w:tc>
              <w:tcPr>
                <w:tcW w:w="989" w:type="dxa"/>
                <w:tcBorders>
                  <w:top w:val="nil"/>
                  <w:left w:val="nil"/>
                  <w:bottom w:val="nil"/>
                  <w:right w:val="nil"/>
                </w:tcBorders>
                <w:vAlign w:val="center"/>
              </w:tcPr>
              <w:p w:rsidR="00875CEB" w:rsidRPr="00540074" w:rsidRDefault="0072693D" w:rsidP="00624997">
                <w:pPr>
                  <w:bidi/>
                  <w:jc w:val="center"/>
                  <w:rPr>
                    <w:rFonts w:ascii="Times New Roman" w:hAnsi="Times New Roman" w:cs="Times New Roman"/>
                    <w:rtl/>
                  </w:rPr>
                </w:pPr>
                <w:r>
                  <w:rPr>
                    <w:rFonts w:ascii="Times New Roman" w:hAnsi="Times New Roman" w:cs="Times New Roman"/>
                  </w:rPr>
                  <w:t>5</w:t>
                </w:r>
                <w:r w:rsidR="00624997">
                  <w:rPr>
                    <w:rFonts w:ascii="Times New Roman" w:hAnsi="Times New Roman" w:cs="Times New Roman"/>
                  </w:rPr>
                  <w:t>6</w:t>
                </w:r>
              </w:p>
            </w:tc>
            <w:tc>
              <w:tcPr>
                <w:tcW w:w="6804" w:type="dxa"/>
                <w:tcBorders>
                  <w:top w:val="nil"/>
                  <w:left w:val="nil"/>
                  <w:bottom w:val="nil"/>
                  <w:right w:val="nil"/>
                </w:tcBorders>
              </w:tcPr>
              <w:p w:rsidR="00875CEB" w:rsidRPr="00011226" w:rsidRDefault="00A85C7D" w:rsidP="00011226">
                <w:pPr>
                  <w:pStyle w:val="TOC2"/>
                  <w:rPr>
                    <w:sz w:val="20"/>
                    <w:szCs w:val="18"/>
                    <w:rtl/>
                  </w:rPr>
                </w:pPr>
                <w:r w:rsidRPr="00011226">
                  <w:rPr>
                    <w:sz w:val="20"/>
                    <w:szCs w:val="18"/>
                  </w:rPr>
                  <w:t>Number of Children Martyred by Region, Year, and Cause</w:t>
                </w:r>
              </w:p>
            </w:tc>
            <w:tc>
              <w:tcPr>
                <w:tcW w:w="1272" w:type="dxa"/>
                <w:tcBorders>
                  <w:top w:val="nil"/>
                  <w:left w:val="nil"/>
                  <w:bottom w:val="nil"/>
                  <w:right w:val="nil"/>
                </w:tcBorders>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5:</w:t>
                </w:r>
              </w:p>
            </w:tc>
          </w:tr>
          <w:tr w:rsidR="00875CEB" w:rsidRPr="00540074" w:rsidTr="00011226">
            <w:trPr>
              <w:trHeight w:val="284"/>
              <w:jc w:val="center"/>
            </w:trPr>
            <w:tc>
              <w:tcPr>
                <w:tcW w:w="989" w:type="dxa"/>
                <w:vAlign w:val="center"/>
              </w:tcPr>
              <w:p w:rsidR="00875CEB" w:rsidRPr="00540074" w:rsidRDefault="0072693D" w:rsidP="00624997">
                <w:pPr>
                  <w:bidi/>
                  <w:jc w:val="center"/>
                  <w:rPr>
                    <w:rFonts w:ascii="Times New Roman" w:hAnsi="Times New Roman" w:cs="Times New Roman"/>
                    <w:rtl/>
                  </w:rPr>
                </w:pPr>
                <w:r>
                  <w:rPr>
                    <w:rFonts w:ascii="Times New Roman" w:hAnsi="Times New Roman" w:cs="Times New Roman"/>
                  </w:rPr>
                  <w:t>5</w:t>
                </w:r>
                <w:r w:rsidR="00624997">
                  <w:rPr>
                    <w:rFonts w:ascii="Times New Roman" w:hAnsi="Times New Roman" w:cs="Times New Roman"/>
                  </w:rPr>
                  <w:t>8</w:t>
                </w:r>
              </w:p>
            </w:tc>
            <w:tc>
              <w:tcPr>
                <w:tcW w:w="6804" w:type="dxa"/>
                <w:vAlign w:val="center"/>
              </w:tcPr>
              <w:p w:rsidR="00875CEB" w:rsidRPr="00540074" w:rsidRDefault="00A85C7D" w:rsidP="004F7AAB">
                <w:pPr>
                  <w:pStyle w:val="TOC2"/>
                  <w:rPr>
                    <w:sz w:val="20"/>
                  </w:rPr>
                </w:pPr>
                <w:r w:rsidRPr="00540074">
                  <w:rPr>
                    <w:sz w:val="20"/>
                  </w:rPr>
                  <w:t>Number of Child Detainees According to Type of Violence and Maltreatment, 2013-2014</w:t>
                </w:r>
              </w:p>
            </w:tc>
            <w:tc>
              <w:tcPr>
                <w:tcW w:w="1272" w:type="dxa"/>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6:</w:t>
                </w:r>
              </w:p>
            </w:tc>
          </w:tr>
          <w:tr w:rsidR="00875CEB" w:rsidRPr="00540074" w:rsidTr="00011226">
            <w:trPr>
              <w:trHeight w:val="284"/>
              <w:jc w:val="center"/>
            </w:trPr>
            <w:tc>
              <w:tcPr>
                <w:tcW w:w="989" w:type="dxa"/>
                <w:vAlign w:val="center"/>
              </w:tcPr>
              <w:p w:rsidR="00875CEB" w:rsidRPr="00540074" w:rsidRDefault="00295576" w:rsidP="00116C07">
                <w:pPr>
                  <w:bidi/>
                  <w:jc w:val="center"/>
                  <w:rPr>
                    <w:rFonts w:ascii="Times New Roman" w:hAnsi="Times New Roman" w:cs="Times New Roman"/>
                    <w:rtl/>
                  </w:rPr>
                </w:pPr>
                <w:r>
                  <w:rPr>
                    <w:rFonts w:ascii="Times New Roman" w:hAnsi="Times New Roman" w:cs="Times New Roman"/>
                  </w:rPr>
                  <w:t>70</w:t>
                </w:r>
              </w:p>
            </w:tc>
            <w:tc>
              <w:tcPr>
                <w:tcW w:w="6804" w:type="dxa"/>
              </w:tcPr>
              <w:p w:rsidR="00875CEB" w:rsidRPr="00540074" w:rsidRDefault="00A85C7D" w:rsidP="00011226">
                <w:pPr>
                  <w:pStyle w:val="TOC2"/>
                  <w:rPr>
                    <w:sz w:val="20"/>
                    <w:rtl/>
                  </w:rPr>
                </w:pPr>
                <w:r w:rsidRPr="00540074">
                  <w:rPr>
                    <w:sz w:val="20"/>
                  </w:rPr>
                  <w:t>Number of Orphans Registered with the Ministry of Social Affairs, 2014</w:t>
                </w:r>
              </w:p>
            </w:tc>
            <w:tc>
              <w:tcPr>
                <w:tcW w:w="1272" w:type="dxa"/>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7:</w:t>
                </w:r>
              </w:p>
            </w:tc>
          </w:tr>
          <w:tr w:rsidR="00875CEB" w:rsidRPr="00540074" w:rsidTr="00011226">
            <w:trPr>
              <w:trHeight w:val="284"/>
              <w:jc w:val="center"/>
            </w:trPr>
            <w:tc>
              <w:tcPr>
                <w:tcW w:w="989" w:type="dxa"/>
                <w:vAlign w:val="center"/>
              </w:tcPr>
              <w:p w:rsidR="00875CEB" w:rsidRPr="00540074" w:rsidRDefault="0072693D" w:rsidP="00295576">
                <w:pPr>
                  <w:bidi/>
                  <w:jc w:val="center"/>
                  <w:rPr>
                    <w:rFonts w:ascii="Times New Roman" w:hAnsi="Times New Roman" w:cs="Times New Roman"/>
                    <w:rtl/>
                  </w:rPr>
                </w:pPr>
                <w:r>
                  <w:rPr>
                    <w:rFonts w:ascii="Times New Roman" w:hAnsi="Times New Roman" w:cs="Times New Roman"/>
                  </w:rPr>
                  <w:t>7</w:t>
                </w:r>
                <w:r w:rsidR="00295576">
                  <w:rPr>
                    <w:rFonts w:ascii="Times New Roman" w:hAnsi="Times New Roman" w:cs="Times New Roman"/>
                  </w:rPr>
                  <w:t>3</w:t>
                </w:r>
              </w:p>
            </w:tc>
            <w:tc>
              <w:tcPr>
                <w:tcW w:w="6804" w:type="dxa"/>
                <w:vAlign w:val="center"/>
              </w:tcPr>
              <w:p w:rsidR="00875CEB" w:rsidRPr="00540074" w:rsidRDefault="00A85C7D" w:rsidP="00A72440">
                <w:pPr>
                  <w:pStyle w:val="TOC2"/>
                  <w:rPr>
                    <w:sz w:val="20"/>
                    <w:rtl/>
                  </w:rPr>
                </w:pPr>
                <w:r w:rsidRPr="00540074">
                  <w:rPr>
                    <w:sz w:val="20"/>
                  </w:rPr>
                  <w:t xml:space="preserve">Percentage of Orphan Children Aged 0-17 years in Palestine </w:t>
                </w:r>
                <w:r w:rsidR="00A72440">
                  <w:rPr>
                    <w:sz w:val="20"/>
                  </w:rPr>
                  <w:t xml:space="preserve">by </w:t>
                </w:r>
                <w:r w:rsidRPr="00540074">
                  <w:rPr>
                    <w:sz w:val="20"/>
                  </w:rPr>
                  <w:t>region and sex, 2014</w:t>
                </w:r>
              </w:p>
            </w:tc>
            <w:tc>
              <w:tcPr>
                <w:tcW w:w="1272" w:type="dxa"/>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8:</w:t>
                </w:r>
              </w:p>
            </w:tc>
          </w:tr>
          <w:tr w:rsidR="00875CEB" w:rsidRPr="00540074" w:rsidTr="00011226">
            <w:trPr>
              <w:trHeight w:val="284"/>
              <w:jc w:val="center"/>
            </w:trPr>
            <w:tc>
              <w:tcPr>
                <w:tcW w:w="989" w:type="dxa"/>
                <w:vAlign w:val="center"/>
              </w:tcPr>
              <w:p w:rsidR="00875CEB" w:rsidRPr="00540074" w:rsidRDefault="0072693D" w:rsidP="00295576">
                <w:pPr>
                  <w:bidi/>
                  <w:jc w:val="center"/>
                  <w:rPr>
                    <w:rFonts w:ascii="Times New Roman" w:hAnsi="Times New Roman" w:cs="Times New Roman"/>
                    <w:rtl/>
                  </w:rPr>
                </w:pPr>
                <w:r>
                  <w:rPr>
                    <w:rFonts w:ascii="Times New Roman" w:hAnsi="Times New Roman" w:cs="Times New Roman"/>
                  </w:rPr>
                  <w:t>7</w:t>
                </w:r>
                <w:r w:rsidR="00295576">
                  <w:rPr>
                    <w:rFonts w:ascii="Times New Roman" w:hAnsi="Times New Roman" w:cs="Times New Roman"/>
                  </w:rPr>
                  <w:t>3</w:t>
                </w:r>
              </w:p>
            </w:tc>
            <w:tc>
              <w:tcPr>
                <w:tcW w:w="6804" w:type="dxa"/>
              </w:tcPr>
              <w:p w:rsidR="00875CEB" w:rsidRPr="00540074" w:rsidRDefault="00A85C7D" w:rsidP="00011226">
                <w:pPr>
                  <w:pStyle w:val="TOC2"/>
                  <w:rPr>
                    <w:sz w:val="20"/>
                    <w:rtl/>
                  </w:rPr>
                </w:pPr>
                <w:r w:rsidRPr="00540074">
                  <w:rPr>
                    <w:sz w:val="20"/>
                  </w:rPr>
                  <w:t>Number of Children Sponsored by the UAE Red Crescent by Governorate, 2014</w:t>
                </w:r>
              </w:p>
            </w:tc>
            <w:tc>
              <w:tcPr>
                <w:tcW w:w="1272" w:type="dxa"/>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9:</w:t>
                </w:r>
              </w:p>
            </w:tc>
          </w:tr>
          <w:tr w:rsidR="00875CEB" w:rsidRPr="00540074" w:rsidTr="00011226">
            <w:trPr>
              <w:trHeight w:val="284"/>
              <w:jc w:val="center"/>
            </w:trPr>
            <w:tc>
              <w:tcPr>
                <w:tcW w:w="989" w:type="dxa"/>
                <w:vAlign w:val="center"/>
              </w:tcPr>
              <w:p w:rsidR="00875CEB" w:rsidRPr="00540074" w:rsidRDefault="0072693D" w:rsidP="00295576">
                <w:pPr>
                  <w:bidi/>
                  <w:jc w:val="center"/>
                  <w:rPr>
                    <w:rFonts w:ascii="Times New Roman" w:hAnsi="Times New Roman" w:cs="Times New Roman"/>
                    <w:rtl/>
                  </w:rPr>
                </w:pPr>
                <w:r>
                  <w:rPr>
                    <w:rFonts w:ascii="Times New Roman" w:hAnsi="Times New Roman" w:cs="Times New Roman"/>
                  </w:rPr>
                  <w:t>7</w:t>
                </w:r>
                <w:r w:rsidR="00295576">
                  <w:rPr>
                    <w:rFonts w:ascii="Times New Roman" w:hAnsi="Times New Roman" w:cs="Times New Roman"/>
                  </w:rPr>
                  <w:t>5</w:t>
                </w:r>
              </w:p>
            </w:tc>
            <w:tc>
              <w:tcPr>
                <w:tcW w:w="6804" w:type="dxa"/>
                <w:vAlign w:val="center"/>
              </w:tcPr>
              <w:p w:rsidR="00875CEB" w:rsidRPr="00540074" w:rsidRDefault="00A85C7D" w:rsidP="004F7AAB">
                <w:pPr>
                  <w:pStyle w:val="TOC2"/>
                  <w:rPr>
                    <w:sz w:val="20"/>
                  </w:rPr>
                </w:pPr>
                <w:r w:rsidRPr="00540074">
                  <w:rPr>
                    <w:sz w:val="20"/>
                  </w:rPr>
                  <w:t>Number of Children with Disabilities in Community Centers Licensed by the Ministry of Education 2012</w:t>
                </w:r>
              </w:p>
            </w:tc>
            <w:tc>
              <w:tcPr>
                <w:tcW w:w="1272" w:type="dxa"/>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10:</w:t>
                </w:r>
              </w:p>
            </w:tc>
          </w:tr>
          <w:tr w:rsidR="00875CEB" w:rsidRPr="00540074" w:rsidTr="00011226">
            <w:trPr>
              <w:trHeight w:val="284"/>
              <w:jc w:val="center"/>
            </w:trPr>
            <w:tc>
              <w:tcPr>
                <w:tcW w:w="989" w:type="dxa"/>
                <w:vAlign w:val="center"/>
              </w:tcPr>
              <w:p w:rsidR="00875CEB" w:rsidRPr="00540074" w:rsidRDefault="0072693D" w:rsidP="00295576">
                <w:pPr>
                  <w:bidi/>
                  <w:jc w:val="center"/>
                  <w:rPr>
                    <w:rFonts w:ascii="Times New Roman" w:hAnsi="Times New Roman" w:cs="Times New Roman"/>
                    <w:rtl/>
                  </w:rPr>
                </w:pPr>
                <w:r>
                  <w:rPr>
                    <w:rFonts w:ascii="Times New Roman" w:hAnsi="Times New Roman" w:cs="Times New Roman"/>
                  </w:rPr>
                  <w:t>7</w:t>
                </w:r>
                <w:r w:rsidR="00295576">
                  <w:rPr>
                    <w:rFonts w:ascii="Times New Roman" w:hAnsi="Times New Roman" w:cs="Times New Roman"/>
                  </w:rPr>
                  <w:t>5</w:t>
                </w:r>
              </w:p>
            </w:tc>
            <w:tc>
              <w:tcPr>
                <w:tcW w:w="6804" w:type="dxa"/>
                <w:vAlign w:val="center"/>
              </w:tcPr>
              <w:p w:rsidR="00875CEB" w:rsidRPr="00540074" w:rsidRDefault="00A85C7D" w:rsidP="004F7AAB">
                <w:pPr>
                  <w:pStyle w:val="TOC2"/>
                  <w:rPr>
                    <w:sz w:val="20"/>
                    <w:rtl/>
                  </w:rPr>
                </w:pPr>
                <w:r w:rsidRPr="00540074">
                  <w:rPr>
                    <w:sz w:val="20"/>
                  </w:rPr>
                  <w:t>Percentage Distribution of Children Aged 6-17 Years with Disabilities by Region and Gender, 2011</w:t>
                </w:r>
              </w:p>
            </w:tc>
            <w:tc>
              <w:tcPr>
                <w:tcW w:w="1272" w:type="dxa"/>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11:</w:t>
                </w:r>
              </w:p>
            </w:tc>
          </w:tr>
          <w:tr w:rsidR="00875CEB" w:rsidRPr="00540074" w:rsidTr="00011226">
            <w:trPr>
              <w:trHeight w:val="284"/>
              <w:jc w:val="center"/>
            </w:trPr>
            <w:tc>
              <w:tcPr>
                <w:tcW w:w="989" w:type="dxa"/>
                <w:vAlign w:val="center"/>
              </w:tcPr>
              <w:p w:rsidR="00875CEB" w:rsidRPr="00540074" w:rsidRDefault="0072693D" w:rsidP="00295576">
                <w:pPr>
                  <w:bidi/>
                  <w:jc w:val="center"/>
                  <w:rPr>
                    <w:rFonts w:ascii="Times New Roman" w:hAnsi="Times New Roman" w:cs="Times New Roman"/>
                    <w:rtl/>
                  </w:rPr>
                </w:pPr>
                <w:r>
                  <w:rPr>
                    <w:rFonts w:ascii="Times New Roman" w:hAnsi="Times New Roman" w:cs="Times New Roman"/>
                  </w:rPr>
                  <w:t>7</w:t>
                </w:r>
                <w:r w:rsidR="00295576">
                  <w:rPr>
                    <w:rFonts w:ascii="Times New Roman" w:hAnsi="Times New Roman" w:cs="Times New Roman"/>
                  </w:rPr>
                  <w:t>6</w:t>
                </w:r>
              </w:p>
            </w:tc>
            <w:tc>
              <w:tcPr>
                <w:tcW w:w="6804" w:type="dxa"/>
                <w:vAlign w:val="center"/>
              </w:tcPr>
              <w:p w:rsidR="00875CEB" w:rsidRPr="00540074" w:rsidRDefault="00A85C7D" w:rsidP="004F7AAB">
                <w:pPr>
                  <w:pStyle w:val="TOC2"/>
                  <w:rPr>
                    <w:sz w:val="20"/>
                    <w:rtl/>
                  </w:rPr>
                </w:pPr>
                <w:r w:rsidRPr="00540074">
                  <w:rPr>
                    <w:sz w:val="20"/>
                  </w:rPr>
                  <w:t>Percentage of Children 6-17 Years with Disabilities who are Integrated into Formal Education by Region, 2011</w:t>
                </w:r>
              </w:p>
            </w:tc>
            <w:tc>
              <w:tcPr>
                <w:tcW w:w="1272" w:type="dxa"/>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12:</w:t>
                </w:r>
              </w:p>
            </w:tc>
          </w:tr>
          <w:tr w:rsidR="00875CEB" w:rsidRPr="00540074" w:rsidTr="00011226">
            <w:trPr>
              <w:trHeight w:val="284"/>
              <w:jc w:val="center"/>
            </w:trPr>
            <w:tc>
              <w:tcPr>
                <w:tcW w:w="989" w:type="dxa"/>
                <w:vAlign w:val="center"/>
              </w:tcPr>
              <w:p w:rsidR="00875CEB"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1</w:t>
                </w:r>
              </w:p>
            </w:tc>
            <w:tc>
              <w:tcPr>
                <w:tcW w:w="6804" w:type="dxa"/>
                <w:vAlign w:val="center"/>
              </w:tcPr>
              <w:p w:rsidR="00875CEB" w:rsidRPr="00540074" w:rsidRDefault="00A85C7D" w:rsidP="001842C0">
                <w:pPr>
                  <w:pStyle w:val="TOC2"/>
                  <w:rPr>
                    <w:sz w:val="20"/>
                  </w:rPr>
                </w:pPr>
                <w:r w:rsidRPr="00540074">
                  <w:rPr>
                    <w:sz w:val="20"/>
                  </w:rPr>
                  <w:t xml:space="preserve">Percentage of Households Applying Preventive Measures to Protect their Children (aged 5-17 years) from the Internet </w:t>
                </w:r>
                <w:r w:rsidR="001842C0">
                  <w:rPr>
                    <w:sz w:val="20"/>
                  </w:rPr>
                  <w:t>by</w:t>
                </w:r>
                <w:r w:rsidRPr="00540074">
                  <w:rPr>
                    <w:sz w:val="20"/>
                  </w:rPr>
                  <w:t xml:space="preserve"> Type of Procedure and Region, 2014</w:t>
                </w:r>
              </w:p>
            </w:tc>
            <w:tc>
              <w:tcPr>
                <w:tcW w:w="1272" w:type="dxa"/>
              </w:tcPr>
              <w:p w:rsidR="00875CEB"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13:</w:t>
                </w:r>
              </w:p>
            </w:tc>
          </w:tr>
          <w:tr w:rsidR="00A85C7D" w:rsidRPr="00540074" w:rsidTr="00011226">
            <w:trPr>
              <w:trHeight w:val="284"/>
              <w:jc w:val="center"/>
            </w:trPr>
            <w:tc>
              <w:tcPr>
                <w:tcW w:w="989" w:type="dxa"/>
                <w:vAlign w:val="center"/>
              </w:tcPr>
              <w:p w:rsidR="00A85C7D"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8</w:t>
                </w:r>
              </w:p>
            </w:tc>
            <w:tc>
              <w:tcPr>
                <w:tcW w:w="6804" w:type="dxa"/>
                <w:vAlign w:val="center"/>
              </w:tcPr>
              <w:p w:rsidR="00A85C7D" w:rsidRPr="00540074" w:rsidRDefault="00A85C7D" w:rsidP="004F7AAB">
                <w:pPr>
                  <w:pStyle w:val="TOC2"/>
                  <w:rPr>
                    <w:sz w:val="20"/>
                  </w:rPr>
                </w:pPr>
                <w:r w:rsidRPr="00540074">
                  <w:rPr>
                    <w:sz w:val="20"/>
                  </w:rPr>
                  <w:t>Percentage of Children Aged 36-59 Months who Participated with one Adult Member of their Household in Activities that Stimulate Learning and Readiness for School, 2014</w:t>
                </w:r>
              </w:p>
            </w:tc>
            <w:tc>
              <w:tcPr>
                <w:tcW w:w="1272" w:type="dxa"/>
              </w:tcPr>
              <w:p w:rsidR="00A85C7D"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14:</w:t>
                </w:r>
              </w:p>
            </w:tc>
          </w:tr>
          <w:tr w:rsidR="00A85C7D" w:rsidRPr="00540074" w:rsidTr="00011226">
            <w:trPr>
              <w:trHeight w:val="284"/>
              <w:jc w:val="center"/>
            </w:trPr>
            <w:tc>
              <w:tcPr>
                <w:tcW w:w="989" w:type="dxa"/>
                <w:vAlign w:val="center"/>
              </w:tcPr>
              <w:p w:rsidR="00A85C7D" w:rsidRPr="00540074" w:rsidRDefault="0072693D" w:rsidP="00E54371">
                <w:pPr>
                  <w:bidi/>
                  <w:jc w:val="center"/>
                  <w:rPr>
                    <w:rFonts w:ascii="Times New Roman" w:hAnsi="Times New Roman" w:cs="Times New Roman"/>
                    <w:rtl/>
                  </w:rPr>
                </w:pPr>
                <w:r>
                  <w:rPr>
                    <w:rFonts w:ascii="Times New Roman" w:hAnsi="Times New Roman" w:cs="Times New Roman"/>
                  </w:rPr>
                  <w:t>8</w:t>
                </w:r>
                <w:r w:rsidR="00E54371">
                  <w:rPr>
                    <w:rFonts w:ascii="Times New Roman" w:hAnsi="Times New Roman" w:cs="Times New Roman"/>
                  </w:rPr>
                  <w:t>9</w:t>
                </w:r>
              </w:p>
            </w:tc>
            <w:tc>
              <w:tcPr>
                <w:tcW w:w="6804" w:type="dxa"/>
                <w:vAlign w:val="center"/>
              </w:tcPr>
              <w:p w:rsidR="00A85C7D" w:rsidRPr="00540074" w:rsidRDefault="00A85C7D" w:rsidP="004F7AAB">
                <w:pPr>
                  <w:pStyle w:val="TOC2"/>
                  <w:rPr>
                    <w:sz w:val="20"/>
                  </w:rPr>
                </w:pPr>
                <w:r w:rsidRPr="00540074">
                  <w:rPr>
                    <w:sz w:val="20"/>
                  </w:rPr>
                  <w:t>Percentage of Children in Palestine Under the Age of 5 years with Children’s Books and Toys at Home, 2014</w:t>
                </w:r>
              </w:p>
            </w:tc>
            <w:tc>
              <w:tcPr>
                <w:tcW w:w="1272" w:type="dxa"/>
              </w:tcPr>
              <w:p w:rsidR="00A85C7D" w:rsidRPr="00595C40" w:rsidRDefault="00A85C7D" w:rsidP="00011226">
                <w:pPr>
                  <w:jc w:val="center"/>
                  <w:rPr>
                    <w:rFonts w:ascii="Times New Roman" w:hAnsi="Times New Roman" w:cs="Times New Roman"/>
                    <w:b/>
                    <w:bCs/>
                    <w:sz w:val="20"/>
                    <w:szCs w:val="20"/>
                  </w:rPr>
                </w:pPr>
                <w:r w:rsidRPr="00595C40">
                  <w:rPr>
                    <w:rFonts w:ascii="Times New Roman" w:hAnsi="Times New Roman" w:cs="Times New Roman"/>
                    <w:b/>
                    <w:bCs/>
                    <w:sz w:val="20"/>
                  </w:rPr>
                  <w:t>Table 15:</w:t>
                </w:r>
              </w:p>
            </w:tc>
          </w:tr>
          <w:tr w:rsidR="00A85C7D" w:rsidRPr="00540074" w:rsidTr="00011226">
            <w:trPr>
              <w:trHeight w:val="284"/>
              <w:jc w:val="center"/>
            </w:trPr>
            <w:tc>
              <w:tcPr>
                <w:tcW w:w="989" w:type="dxa"/>
                <w:vAlign w:val="center"/>
              </w:tcPr>
              <w:p w:rsidR="00A85C7D" w:rsidRPr="00540074" w:rsidRDefault="00E54371" w:rsidP="00624997">
                <w:pPr>
                  <w:bidi/>
                  <w:jc w:val="center"/>
                  <w:rPr>
                    <w:rFonts w:ascii="Times New Roman" w:hAnsi="Times New Roman" w:cs="Times New Roman"/>
                    <w:rtl/>
                  </w:rPr>
                </w:pPr>
                <w:r>
                  <w:rPr>
                    <w:rFonts w:ascii="Times New Roman" w:hAnsi="Times New Roman" w:cs="Times New Roman"/>
                  </w:rPr>
                  <w:t>90</w:t>
                </w:r>
              </w:p>
            </w:tc>
            <w:tc>
              <w:tcPr>
                <w:tcW w:w="6804" w:type="dxa"/>
                <w:vAlign w:val="center"/>
              </w:tcPr>
              <w:p w:rsidR="00A85C7D" w:rsidRPr="00540074" w:rsidRDefault="00A85C7D" w:rsidP="004F7AAB">
                <w:pPr>
                  <w:pStyle w:val="TOC2"/>
                  <w:rPr>
                    <w:sz w:val="20"/>
                  </w:rPr>
                </w:pPr>
                <w:r w:rsidRPr="00540074">
                  <w:rPr>
                    <w:sz w:val="20"/>
                  </w:rPr>
                  <w:t>Percentage of Children Aged 0-59 Months Left Alone or in the Care of Children Under the Age of 10 Years During the Week Preceding the Survey by Background Characteristics, 2014</w:t>
                </w:r>
              </w:p>
            </w:tc>
            <w:tc>
              <w:tcPr>
                <w:tcW w:w="1272" w:type="dxa"/>
              </w:tcPr>
              <w:p w:rsidR="00A85C7D" w:rsidRPr="00011226" w:rsidRDefault="00A85C7D" w:rsidP="00011226">
                <w:pPr>
                  <w:jc w:val="center"/>
                  <w:rPr>
                    <w:rFonts w:ascii="Times New Roman" w:hAnsi="Times New Roman" w:cs="Times New Roman"/>
                    <w:b/>
                    <w:bCs/>
                    <w:sz w:val="20"/>
                    <w:szCs w:val="18"/>
                  </w:rPr>
                </w:pPr>
                <w:r w:rsidRPr="00011226">
                  <w:rPr>
                    <w:rFonts w:ascii="Times New Roman" w:hAnsi="Times New Roman" w:cs="Times New Roman"/>
                    <w:b/>
                    <w:bCs/>
                    <w:sz w:val="20"/>
                    <w:szCs w:val="18"/>
                  </w:rPr>
                  <w:t>Table 16:</w:t>
                </w:r>
              </w:p>
            </w:tc>
          </w:tr>
          <w:tr w:rsidR="00A85C7D" w:rsidRPr="00540074" w:rsidTr="00416934">
            <w:trPr>
              <w:trHeight w:val="284"/>
              <w:jc w:val="center"/>
            </w:trPr>
            <w:tc>
              <w:tcPr>
                <w:tcW w:w="989" w:type="dxa"/>
                <w:vAlign w:val="center"/>
              </w:tcPr>
              <w:p w:rsidR="00A85C7D" w:rsidRPr="00540074" w:rsidRDefault="00A85C7D" w:rsidP="00116C07">
                <w:pPr>
                  <w:bidi/>
                  <w:jc w:val="center"/>
                  <w:rPr>
                    <w:rFonts w:ascii="Times New Roman" w:hAnsi="Times New Roman" w:cs="Times New Roman"/>
                    <w:rtl/>
                  </w:rPr>
                </w:pPr>
              </w:p>
            </w:tc>
            <w:tc>
              <w:tcPr>
                <w:tcW w:w="6804" w:type="dxa"/>
                <w:vAlign w:val="center"/>
              </w:tcPr>
              <w:p w:rsidR="00A85C7D" w:rsidRPr="00540074" w:rsidRDefault="00A85C7D" w:rsidP="004F7AAB">
                <w:pPr>
                  <w:pStyle w:val="TOC2"/>
                  <w:rPr>
                    <w:sz w:val="20"/>
                  </w:rPr>
                </w:pPr>
              </w:p>
            </w:tc>
            <w:tc>
              <w:tcPr>
                <w:tcW w:w="1272" w:type="dxa"/>
                <w:vAlign w:val="center"/>
              </w:tcPr>
              <w:p w:rsidR="00A85C7D" w:rsidRPr="00540074" w:rsidRDefault="00A85C7D" w:rsidP="004F7AAB">
                <w:pPr>
                  <w:rPr>
                    <w:rFonts w:ascii="Times New Roman" w:hAnsi="Times New Roman" w:cs="Times New Roman"/>
                    <w:sz w:val="20"/>
                    <w:szCs w:val="20"/>
                  </w:rPr>
                </w:pPr>
              </w:p>
            </w:tc>
          </w:tr>
        </w:tbl>
        <w:p w:rsidR="00875CEB" w:rsidRPr="00540074" w:rsidRDefault="00875CEB" w:rsidP="008E657F">
          <w:pPr>
            <w:jc w:val="both"/>
            <w:rPr>
              <w:rFonts w:ascii="Times New Roman" w:eastAsia="Times New Roman" w:hAnsi="Times New Roman" w:cs="Times New Roman"/>
              <w:b/>
              <w:bCs/>
              <w:sz w:val="28"/>
              <w:szCs w:val="28"/>
            </w:rPr>
          </w:pPr>
        </w:p>
        <w:p w:rsidR="00875CEB" w:rsidRPr="00540074" w:rsidRDefault="00875CEB" w:rsidP="008E657F">
          <w:pPr>
            <w:jc w:val="both"/>
            <w:rPr>
              <w:rFonts w:ascii="Times New Roman" w:eastAsia="Times New Roman" w:hAnsi="Times New Roman" w:cs="Times New Roman"/>
              <w:b/>
              <w:bCs/>
              <w:sz w:val="28"/>
              <w:szCs w:val="28"/>
              <w:rtl/>
            </w:rPr>
          </w:pPr>
        </w:p>
        <w:p w:rsidR="0081028E" w:rsidRPr="00540074" w:rsidRDefault="0081028E" w:rsidP="008E657F">
          <w:pPr>
            <w:jc w:val="both"/>
            <w:rPr>
              <w:rFonts w:ascii="Times New Roman" w:hAnsi="Times New Roman" w:cs="Times New Roman"/>
              <w:b/>
              <w:bCs/>
              <w:sz w:val="28"/>
              <w:szCs w:val="28"/>
              <w:rtl/>
            </w:rPr>
          </w:pPr>
          <w:bookmarkStart w:id="0" w:name="_GoBack"/>
          <w:bookmarkEnd w:id="0"/>
        </w:p>
        <w:p w:rsidR="00277423" w:rsidRPr="00540074" w:rsidRDefault="00277423" w:rsidP="008E657F">
          <w:pPr>
            <w:jc w:val="both"/>
            <w:rPr>
              <w:rFonts w:ascii="Times New Roman" w:hAnsi="Times New Roman" w:cs="Times New Roman"/>
              <w:b/>
              <w:bCs/>
              <w:sz w:val="28"/>
              <w:szCs w:val="28"/>
            </w:rPr>
          </w:pPr>
        </w:p>
        <w:p w:rsidR="00D51A28" w:rsidRPr="00540074" w:rsidRDefault="00D51A28" w:rsidP="008E657F">
          <w:pPr>
            <w:jc w:val="both"/>
            <w:rPr>
              <w:rFonts w:ascii="Times New Roman" w:hAnsi="Times New Roman" w:cs="Times New Roman"/>
              <w:b/>
              <w:bCs/>
              <w:sz w:val="23"/>
              <w:szCs w:val="23"/>
              <w:rtl/>
            </w:rPr>
          </w:pPr>
        </w:p>
        <w:p w:rsidR="009D1E28" w:rsidRPr="00540074" w:rsidRDefault="009D1E28" w:rsidP="008E657F">
          <w:pPr>
            <w:jc w:val="both"/>
            <w:rPr>
              <w:rFonts w:ascii="Times New Roman" w:hAnsi="Times New Roman" w:cs="Times New Roman"/>
              <w:b/>
              <w:bCs/>
              <w:rtl/>
            </w:rPr>
          </w:pPr>
        </w:p>
        <w:p w:rsidR="00F676C8" w:rsidRPr="00540074" w:rsidRDefault="00F676C8" w:rsidP="008E657F">
          <w:pPr>
            <w:jc w:val="both"/>
            <w:rPr>
              <w:rFonts w:ascii="Times New Roman" w:hAnsi="Times New Roman" w:cs="Times New Roman"/>
              <w:b/>
              <w:bCs/>
              <w:rtl/>
            </w:rPr>
          </w:pPr>
        </w:p>
        <w:p w:rsidR="00D45089" w:rsidRPr="00540074" w:rsidRDefault="00D45089" w:rsidP="008E657F">
          <w:pPr>
            <w:jc w:val="both"/>
            <w:rPr>
              <w:rFonts w:ascii="Times New Roman" w:hAnsi="Times New Roman" w:cs="Times New Roman"/>
              <w:b/>
              <w:bCs/>
              <w:rtl/>
            </w:rPr>
          </w:pPr>
        </w:p>
        <w:p w:rsidR="000453A6" w:rsidRPr="00540074" w:rsidRDefault="000453A6" w:rsidP="008E657F">
          <w:pPr>
            <w:jc w:val="both"/>
            <w:rPr>
              <w:rFonts w:ascii="Times New Roman" w:hAnsi="Times New Roman" w:cs="Times New Roman"/>
              <w:b/>
              <w:bCs/>
              <w:sz w:val="28"/>
              <w:szCs w:val="28"/>
              <w:rtl/>
            </w:rPr>
          </w:pPr>
        </w:p>
        <w:p w:rsidR="000453A6" w:rsidRPr="00540074" w:rsidRDefault="000453A6" w:rsidP="008E657F">
          <w:pPr>
            <w:jc w:val="both"/>
            <w:rPr>
              <w:rFonts w:ascii="Times New Roman" w:hAnsi="Times New Roman" w:cs="Times New Roman"/>
              <w:b/>
              <w:bCs/>
              <w:sz w:val="28"/>
              <w:szCs w:val="28"/>
              <w:rtl/>
            </w:rPr>
          </w:pPr>
        </w:p>
        <w:p w:rsidR="000453A6" w:rsidRPr="00540074" w:rsidRDefault="000453A6" w:rsidP="008E657F">
          <w:pPr>
            <w:jc w:val="both"/>
            <w:rPr>
              <w:rFonts w:ascii="Times New Roman" w:hAnsi="Times New Roman" w:cs="Times New Roman"/>
              <w:b/>
              <w:bCs/>
              <w:sz w:val="28"/>
              <w:szCs w:val="28"/>
              <w:rtl/>
            </w:rPr>
          </w:pPr>
        </w:p>
        <w:p w:rsidR="000453A6" w:rsidRPr="00540074" w:rsidRDefault="000453A6" w:rsidP="008E657F">
          <w:pPr>
            <w:jc w:val="both"/>
            <w:rPr>
              <w:rFonts w:ascii="Times New Roman" w:hAnsi="Times New Roman" w:cs="Times New Roman"/>
              <w:b/>
              <w:bCs/>
              <w:sz w:val="28"/>
              <w:szCs w:val="28"/>
              <w:rtl/>
            </w:rPr>
          </w:pPr>
        </w:p>
        <w:p w:rsidR="000453A6" w:rsidRPr="00540074" w:rsidRDefault="000453A6" w:rsidP="008E657F">
          <w:pPr>
            <w:jc w:val="both"/>
            <w:rPr>
              <w:rFonts w:ascii="Times New Roman" w:hAnsi="Times New Roman" w:cs="Times New Roman"/>
              <w:b/>
              <w:bCs/>
              <w:sz w:val="28"/>
              <w:szCs w:val="28"/>
              <w:rtl/>
            </w:rPr>
          </w:pPr>
        </w:p>
        <w:p w:rsidR="000453A6" w:rsidRPr="00540074" w:rsidRDefault="000453A6" w:rsidP="008E657F">
          <w:pPr>
            <w:jc w:val="both"/>
            <w:rPr>
              <w:rFonts w:ascii="Times New Roman" w:hAnsi="Times New Roman" w:cs="Times New Roman"/>
              <w:b/>
              <w:bCs/>
              <w:sz w:val="28"/>
              <w:szCs w:val="28"/>
              <w:rtl/>
            </w:rPr>
          </w:pPr>
        </w:p>
        <w:p w:rsidR="000453A6" w:rsidRPr="00540074" w:rsidRDefault="000453A6" w:rsidP="008E657F">
          <w:pPr>
            <w:jc w:val="both"/>
            <w:rPr>
              <w:rFonts w:ascii="Times New Roman" w:hAnsi="Times New Roman" w:cs="Times New Roman"/>
              <w:b/>
              <w:bCs/>
              <w:sz w:val="28"/>
              <w:szCs w:val="28"/>
              <w:rtl/>
            </w:rPr>
          </w:pPr>
        </w:p>
        <w:p w:rsidR="000453A6" w:rsidRPr="00540074" w:rsidRDefault="000453A6" w:rsidP="008E657F">
          <w:pPr>
            <w:jc w:val="both"/>
            <w:rPr>
              <w:rFonts w:ascii="Times New Roman" w:hAnsi="Times New Roman" w:cs="Times New Roman"/>
              <w:b/>
              <w:bCs/>
              <w:sz w:val="28"/>
              <w:szCs w:val="28"/>
              <w:rtl/>
            </w:rPr>
          </w:pPr>
        </w:p>
        <w:p w:rsidR="000453A6" w:rsidRPr="00540074" w:rsidRDefault="000453A6" w:rsidP="008E657F">
          <w:pPr>
            <w:jc w:val="both"/>
            <w:rPr>
              <w:rFonts w:ascii="Times New Roman" w:hAnsi="Times New Roman" w:cs="Times New Roman"/>
              <w:b/>
              <w:bCs/>
              <w:sz w:val="28"/>
              <w:szCs w:val="28"/>
              <w:rtl/>
            </w:rPr>
          </w:pPr>
        </w:p>
        <w:p w:rsidR="00B46618" w:rsidRPr="00540074" w:rsidRDefault="00B46618" w:rsidP="008E657F">
          <w:pPr>
            <w:jc w:val="both"/>
            <w:rPr>
              <w:rFonts w:ascii="Times New Roman" w:hAnsi="Times New Roman" w:cs="Times New Roman"/>
              <w:b/>
              <w:bCs/>
              <w:sz w:val="28"/>
              <w:szCs w:val="28"/>
              <w:rtl/>
            </w:rPr>
          </w:pPr>
        </w:p>
        <w:p w:rsidR="00B46618" w:rsidRPr="00540074" w:rsidRDefault="00B46618" w:rsidP="008E657F">
          <w:pPr>
            <w:jc w:val="both"/>
            <w:rPr>
              <w:rFonts w:ascii="Times New Roman" w:hAnsi="Times New Roman" w:cs="Times New Roman"/>
              <w:b/>
              <w:bCs/>
              <w:sz w:val="28"/>
              <w:szCs w:val="28"/>
              <w:rtl/>
            </w:rPr>
          </w:pPr>
        </w:p>
        <w:p w:rsidR="00B46618" w:rsidRPr="00540074" w:rsidRDefault="00B46618" w:rsidP="008E657F">
          <w:pPr>
            <w:jc w:val="both"/>
            <w:rPr>
              <w:rFonts w:ascii="Times New Roman" w:hAnsi="Times New Roman" w:cs="Times New Roman"/>
              <w:b/>
              <w:bCs/>
              <w:sz w:val="28"/>
              <w:szCs w:val="28"/>
              <w:rtl/>
            </w:rPr>
          </w:pPr>
        </w:p>
        <w:p w:rsidR="00B46618" w:rsidRPr="00540074" w:rsidRDefault="00B46618" w:rsidP="008E657F">
          <w:pPr>
            <w:jc w:val="both"/>
            <w:rPr>
              <w:rFonts w:ascii="Times New Roman" w:hAnsi="Times New Roman" w:cs="Times New Roman"/>
              <w:b/>
              <w:bCs/>
              <w:sz w:val="28"/>
              <w:szCs w:val="28"/>
              <w:rtl/>
            </w:rPr>
          </w:pPr>
        </w:p>
        <w:p w:rsidR="00570C86" w:rsidRPr="00540074" w:rsidRDefault="00570C86" w:rsidP="008E657F">
          <w:pPr>
            <w:jc w:val="both"/>
            <w:rPr>
              <w:rFonts w:ascii="Times New Roman" w:eastAsia="Times New Roman" w:hAnsi="Times New Roman" w:cs="Times New Roman"/>
              <w:b/>
              <w:bCs/>
              <w:sz w:val="28"/>
              <w:szCs w:val="28"/>
              <w:rtl/>
            </w:rPr>
          </w:pPr>
          <w:r w:rsidRPr="00540074">
            <w:rPr>
              <w:rFonts w:ascii="Times New Roman" w:hAnsi="Times New Roman" w:cs="Times New Roman"/>
              <w:b/>
              <w:bCs/>
              <w:sz w:val="28"/>
              <w:szCs w:val="28"/>
              <w:rtl/>
            </w:rPr>
            <w:br w:type="page"/>
          </w:r>
        </w:p>
        <w:p w:rsidR="00725145" w:rsidRPr="00540074" w:rsidRDefault="00725145" w:rsidP="008E657F">
          <w:pPr>
            <w:jc w:val="both"/>
            <w:rPr>
              <w:rFonts w:ascii="Times New Roman" w:hAnsi="Times New Roman" w:cs="Times New Roman"/>
              <w:szCs w:val="24"/>
              <w:rtl/>
            </w:rPr>
            <w:sectPr w:rsidR="00725145" w:rsidRPr="00540074" w:rsidSect="00F0163E">
              <w:footerReference w:type="default" r:id="rId15"/>
              <w:footerReference w:type="first" r:id="rId16"/>
              <w:pgSz w:w="11909" w:h="16834" w:code="9"/>
              <w:pgMar w:top="1418" w:right="1418" w:bottom="1418" w:left="1418" w:header="720" w:footer="720" w:gutter="0"/>
              <w:pgNumType w:start="1"/>
              <w:cols w:space="720"/>
              <w:titlePg/>
              <w:docGrid w:linePitch="360"/>
            </w:sectPr>
          </w:pPr>
        </w:p>
        <w:p w:rsidR="00CF3085" w:rsidRDefault="00600FC9" w:rsidP="00F0163E">
          <w:pPr>
            <w:pStyle w:val="Heading1"/>
            <w:spacing w:before="0" w:line="240" w:lineRule="auto"/>
            <w:jc w:val="center"/>
            <w:rPr>
              <w:rFonts w:ascii="Times New Roman" w:hAnsi="Times New Roman" w:cs="Times New Roman"/>
              <w:b w:val="0"/>
              <w:bCs w:val="0"/>
              <w:color w:val="auto"/>
              <w:sz w:val="24"/>
              <w:szCs w:val="24"/>
            </w:rPr>
          </w:pPr>
          <w:bookmarkStart w:id="1" w:name="_Toc420244957"/>
          <w:r w:rsidRPr="003122A3">
            <w:rPr>
              <w:rFonts w:ascii="Times New Roman" w:hAnsi="Times New Roman" w:cs="Times New Roman"/>
              <w:b w:val="0"/>
              <w:bCs w:val="0"/>
              <w:color w:val="auto"/>
              <w:sz w:val="24"/>
              <w:szCs w:val="24"/>
            </w:rPr>
            <w:t>Chapter One</w:t>
          </w:r>
          <w:bookmarkEnd w:id="1"/>
        </w:p>
        <w:p w:rsidR="00EB6DAF" w:rsidRPr="00EB6DAF" w:rsidRDefault="00EB6DAF" w:rsidP="00EB6DAF">
          <w:pPr>
            <w:rPr>
              <w:rtl/>
            </w:rPr>
          </w:pPr>
        </w:p>
        <w:p w:rsidR="004F21E2" w:rsidRPr="003122A3" w:rsidRDefault="00600FC9" w:rsidP="00F0163E">
          <w:pPr>
            <w:pStyle w:val="Heading1"/>
            <w:spacing w:before="0" w:line="240" w:lineRule="auto"/>
            <w:jc w:val="center"/>
            <w:rPr>
              <w:rFonts w:ascii="Times New Roman" w:hAnsi="Times New Roman" w:cs="Times New Roman"/>
              <w:color w:val="auto"/>
              <w:rtl/>
            </w:rPr>
          </w:pPr>
          <w:bookmarkStart w:id="2" w:name="_Toc420244958"/>
          <w:r w:rsidRPr="003122A3">
            <w:rPr>
              <w:rFonts w:ascii="Times New Roman" w:hAnsi="Times New Roman" w:cs="Times New Roman"/>
              <w:color w:val="auto"/>
            </w:rPr>
            <w:t>Introduction</w:t>
          </w:r>
          <w:bookmarkEnd w:id="2"/>
        </w:p>
        <w:p w:rsidR="004F21E2" w:rsidRPr="003122A3" w:rsidRDefault="008F57C8" w:rsidP="00F0163E">
          <w:pPr>
            <w:spacing w:after="0" w:line="240" w:lineRule="auto"/>
            <w:jc w:val="both"/>
            <w:rPr>
              <w:rFonts w:ascii="Times New Roman" w:hAnsi="Times New Roman" w:cs="Times New Roman"/>
              <w:rtl/>
            </w:rPr>
          </w:pPr>
        </w:p>
      </w:sdtContent>
    </w:sdt>
    <w:p w:rsidR="00600FC9" w:rsidRDefault="00600FC9" w:rsidP="00CA7D33">
      <w:pPr>
        <w:pStyle w:val="Heading2"/>
        <w:numPr>
          <w:ilvl w:val="1"/>
          <w:numId w:val="6"/>
        </w:numPr>
        <w:ind w:firstLineChars="0"/>
        <w:jc w:val="left"/>
        <w:rPr>
          <w:rFonts w:ascii="Times New Roman" w:hAnsi="Times New Roman" w:cs="Times New Roman"/>
          <w:sz w:val="24"/>
          <w:szCs w:val="24"/>
        </w:rPr>
      </w:pPr>
      <w:bookmarkStart w:id="3" w:name="_Toc420244959"/>
      <w:r w:rsidRPr="003122A3">
        <w:rPr>
          <w:rFonts w:ascii="Times New Roman" w:hAnsi="Times New Roman" w:cs="Times New Roman"/>
          <w:sz w:val="24"/>
          <w:szCs w:val="24"/>
        </w:rPr>
        <w:t>Children's Rights, Needs and Wellbeing</w:t>
      </w:r>
      <w:bookmarkEnd w:id="3"/>
    </w:p>
    <w:p w:rsidR="00DD3BC0" w:rsidRPr="00DD3BC0" w:rsidRDefault="00DD3BC0" w:rsidP="00DD3BC0">
      <w:pPr>
        <w:pStyle w:val="Heading3"/>
        <w:bidi w:val="0"/>
        <w:rPr>
          <w:sz w:val="24"/>
          <w:szCs w:val="24"/>
          <w:lang w:eastAsia="ar-SA"/>
        </w:rPr>
      </w:pPr>
    </w:p>
    <w:p w:rsidR="00600FC9" w:rsidRDefault="00600FC9" w:rsidP="00F0163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Palestinian government takes its commitment to children's rights seriously. Palestinian Liberation Organization (PLO) Chairman Yasser Arafat ratified the United Nations Convention on the Rights of the Child (CRC) in 1991. In 1995, on the occasion of Palestinian Children’s Day, the convention was legally adopted and was referred to in the special session on children of the General Assembly of the United Nations in May 2002. In 2004, the Palestinian Child Law No. 7 was adopted and the Palestinian Ministry of Planning drafted the National Plan of Action for Palestinian Children. In 2009, the Child Rights Protection Unit was transferred from the Ministry of Planning to the Ministry of Social Affairs (MOSA).</w:t>
      </w:r>
      <w:r w:rsidR="00943804" w:rsidRPr="003122A3">
        <w:rPr>
          <w:rFonts w:ascii="Times New Roman" w:hAnsi="Times New Roman" w:cs="Times New Roman"/>
          <w:sz w:val="24"/>
          <w:szCs w:val="24"/>
        </w:rPr>
        <w:t xml:space="preserve"> </w:t>
      </w:r>
      <w:r w:rsidRPr="003122A3">
        <w:rPr>
          <w:rFonts w:ascii="Times New Roman" w:hAnsi="Times New Roman" w:cs="Times New Roman"/>
          <w:sz w:val="24"/>
          <w:szCs w:val="24"/>
        </w:rPr>
        <w:t xml:space="preserve"> The MOSA was tasked with implementing amendments to the Palestinian Child Law and ensuring compliance with the United Nations convention. </w:t>
      </w:r>
    </w:p>
    <w:p w:rsidR="00F0163E" w:rsidRPr="003122A3" w:rsidRDefault="00F0163E" w:rsidP="00F0163E">
      <w:pPr>
        <w:spacing w:after="0" w:line="240" w:lineRule="auto"/>
        <w:jc w:val="both"/>
        <w:rPr>
          <w:rFonts w:ascii="Times New Roman" w:hAnsi="Times New Roman" w:cs="Times New Roman"/>
          <w:sz w:val="24"/>
          <w:szCs w:val="24"/>
        </w:rPr>
      </w:pPr>
    </w:p>
    <w:p w:rsidR="00600FC9" w:rsidRDefault="00600FC9" w:rsidP="00F0163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In 2010, the Palestinian National Authority issued its first report on the implementation of the Convention on the Rights of the Child in the occupied Palestinian territories by Palestinian institutions. The report reviewed the Palestinian legislative and legal framework, action plans and services from a human rights perspective and discussed significant Palestinian achievements in terms of addressing the requirements of the convention. The report also analyzed key obstacles and gaps that prevent Palestinian children from accessing their rights and presented recommendations to be addressed. A number of initiatives were taken in response to these recommendations. These included the drafting of legal opinions, the adoption of amendments to the Palestinian Child Law by President Mahmoud </w:t>
      </w:r>
      <w:proofErr w:type="spellStart"/>
      <w:r w:rsidRPr="003122A3">
        <w:rPr>
          <w:rFonts w:ascii="Times New Roman" w:hAnsi="Times New Roman" w:cs="Times New Roman"/>
          <w:sz w:val="24"/>
          <w:szCs w:val="24"/>
        </w:rPr>
        <w:t>Abbas</w:t>
      </w:r>
      <w:proofErr w:type="spellEnd"/>
      <w:r w:rsidRPr="003122A3">
        <w:rPr>
          <w:rFonts w:ascii="Times New Roman" w:hAnsi="Times New Roman" w:cs="Times New Roman"/>
          <w:sz w:val="24"/>
          <w:szCs w:val="24"/>
        </w:rPr>
        <w:t xml:space="preserve"> and new developments in terms of policy addressing education, health, disability, protection and participation for children, as well as the development of national indicators corresponding to the rights of the child. A program of the Independent Commission for Human Rights which monitored children’s rights developed a special mechanism by which children could register their complaints. </w:t>
      </w:r>
    </w:p>
    <w:p w:rsidR="00F0163E" w:rsidRPr="003122A3" w:rsidRDefault="00F0163E" w:rsidP="00F0163E">
      <w:pPr>
        <w:spacing w:after="0" w:line="240" w:lineRule="auto"/>
        <w:jc w:val="both"/>
        <w:rPr>
          <w:rFonts w:ascii="Times New Roman" w:hAnsi="Times New Roman" w:cs="Times New Roman"/>
          <w:sz w:val="24"/>
          <w:szCs w:val="24"/>
        </w:rPr>
      </w:pPr>
    </w:p>
    <w:p w:rsidR="00600FC9" w:rsidRPr="003122A3" w:rsidRDefault="00600FC9" w:rsidP="00F0163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2012, the General Assembly of the United Nations recognized and promoted Palestine to “non-member observer state” status. Subsequently, the formal recognition of the United Nations Convention on the Rights of the Child and other international conventions and their implications for the State of Palestine have been placed high on the agenda of the Palestinian Authority.</w:t>
      </w:r>
    </w:p>
    <w:p w:rsidR="00600FC9" w:rsidRDefault="00600FC9" w:rsidP="00F0163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Despite international recognition of the State of Palestine and the existence of a national framework of laws, regulations, policies, plans, strategies and programs, Palestine continues to have limited sovereignty and control over its territory, borders and natural resources due to Israel’s military occupation. Hostile actions on the part of Israel include the closure on towns and villages to restrict the movement of goods and people; further restrictions of movement within Palestinian territory through Israel’s system of military checkpoints and electronic gates and the apartheid wall. These have had a detrimental effect on political, economic and social conditions and have adversely affected the rights of Palestinian children in terms of health, education, social protection, recreation, safety and security. </w:t>
      </w:r>
      <w:r w:rsidR="00955396" w:rsidRPr="003122A3">
        <w:rPr>
          <w:rFonts w:ascii="Times New Roman" w:hAnsi="Times New Roman" w:cs="Times New Roman"/>
          <w:sz w:val="24"/>
          <w:szCs w:val="24"/>
        </w:rPr>
        <w:t xml:space="preserve"> </w:t>
      </w:r>
      <w:r w:rsidRPr="003122A3">
        <w:rPr>
          <w:rFonts w:ascii="Times New Roman" w:hAnsi="Times New Roman" w:cs="Times New Roman"/>
          <w:sz w:val="24"/>
          <w:szCs w:val="24"/>
        </w:rPr>
        <w:t xml:space="preserve">Perhaps the most affected are children in remote, marginalized areas, poor children, children with disabilities, children without family care, children in conflict with the law, female children and younger children. </w:t>
      </w:r>
    </w:p>
    <w:p w:rsidR="00F0163E" w:rsidRPr="003122A3" w:rsidRDefault="00F0163E" w:rsidP="00F0163E">
      <w:pPr>
        <w:spacing w:after="0" w:line="240" w:lineRule="auto"/>
        <w:jc w:val="both"/>
        <w:rPr>
          <w:rFonts w:ascii="Times New Roman" w:hAnsi="Times New Roman" w:cs="Times New Roman"/>
          <w:sz w:val="24"/>
          <w:szCs w:val="24"/>
        </w:rPr>
      </w:pPr>
    </w:p>
    <w:p w:rsidR="00600FC9" w:rsidRDefault="00600FC9" w:rsidP="00F0163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This increases the challenge faced by the Palestinian government to ensure equality and justice in terms of access to services and prioritization of vulnerable children in the implementation of the amended Palestinian Child Law and of the Convention on the Rights of the Child in the Palestinian context. Greater efforts are needed in terms of monitoring the implementation and enforcement of the law, documenting violations against Palestinian children, collecting data and reporting on the </w:t>
      </w:r>
      <w:r w:rsidRPr="00040CB2">
        <w:rPr>
          <w:rFonts w:ascii="Times New Roman" w:hAnsi="Times New Roman" w:cs="Times New Roman"/>
          <w:sz w:val="24"/>
          <w:szCs w:val="24"/>
        </w:rPr>
        <w:t>status of Palestinian children, revising current laws and regulations to ensure consistency with the amended Palestinian Child Law and the CRC and defining responsibilities and accountability. The current adverse conditions and scarcity of resources do not exempt any governmental or non-governmental organization from their responsibility to ensure the wellbeing, rights and protection of Palestinian children.</w:t>
      </w:r>
    </w:p>
    <w:p w:rsidR="00F0163E" w:rsidRPr="003122A3" w:rsidRDefault="00F0163E" w:rsidP="00F0163E">
      <w:pPr>
        <w:spacing w:after="0" w:line="240" w:lineRule="auto"/>
        <w:jc w:val="both"/>
        <w:rPr>
          <w:rFonts w:ascii="Times New Roman" w:hAnsi="Times New Roman" w:cs="Times New Roman"/>
          <w:sz w:val="24"/>
          <w:szCs w:val="24"/>
        </w:rPr>
      </w:pPr>
    </w:p>
    <w:tbl>
      <w:tblPr>
        <w:tblStyle w:val="TableGrid"/>
        <w:tblW w:w="0" w:type="auto"/>
        <w:tblInd w:w="142" w:type="dxa"/>
        <w:tblBorders>
          <w:insideH w:val="none" w:sz="0" w:space="0" w:color="auto"/>
          <w:insideV w:val="none" w:sz="0" w:space="0" w:color="auto"/>
        </w:tblBorders>
        <w:tblLook w:val="04A0"/>
      </w:tblPr>
      <w:tblGrid>
        <w:gridCol w:w="9286"/>
      </w:tblGrid>
      <w:tr w:rsidR="00600FC9" w:rsidRPr="003122A3" w:rsidTr="004F26A2">
        <w:tc>
          <w:tcPr>
            <w:tcW w:w="9286" w:type="dxa"/>
            <w:shd w:val="clear" w:color="auto" w:fill="auto"/>
          </w:tcPr>
          <w:p w:rsidR="00600FC9" w:rsidRPr="003122A3" w:rsidRDefault="00600FC9"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Purpose of this Report</w:t>
            </w:r>
          </w:p>
          <w:p w:rsidR="00A75359" w:rsidRPr="003122A3" w:rsidRDefault="00A75359" w:rsidP="008E657F">
            <w:pPr>
              <w:jc w:val="both"/>
              <w:rPr>
                <w:rFonts w:ascii="Times New Roman" w:hAnsi="Times New Roman" w:cs="Times New Roman"/>
                <w:b/>
                <w:bCs/>
                <w:sz w:val="6"/>
                <w:szCs w:val="6"/>
              </w:rPr>
            </w:pPr>
          </w:p>
        </w:tc>
      </w:tr>
      <w:tr w:rsidR="00600FC9" w:rsidRPr="003122A3" w:rsidTr="004F26A2">
        <w:tc>
          <w:tcPr>
            <w:tcW w:w="9286" w:type="dxa"/>
            <w:shd w:val="clear" w:color="auto" w:fill="auto"/>
          </w:tcPr>
          <w:p w:rsidR="00600FC9" w:rsidRPr="003122A3" w:rsidRDefault="00600FC9" w:rsidP="008875FE">
            <w:pPr>
              <w:jc w:val="both"/>
              <w:rPr>
                <w:rFonts w:ascii="Times New Roman" w:hAnsi="Times New Roman" w:cs="Times New Roman"/>
                <w:sz w:val="24"/>
                <w:szCs w:val="24"/>
              </w:rPr>
            </w:pPr>
            <w:r w:rsidRPr="003122A3">
              <w:rPr>
                <w:rFonts w:ascii="Times New Roman" w:hAnsi="Times New Roman" w:cs="Times New Roman"/>
                <w:sz w:val="24"/>
                <w:szCs w:val="24"/>
              </w:rPr>
              <w:t>This report is intended to describe the current situation of Palestinian children and their access to services, but it also highlights the situation of vulnerable and marginalized groups of children and their failure to access the available services due to geographical location, gender,  disability or chronic illness (impacted by their social status and health), their inability to repay direct and indirect costs (impacted by their social and economic status) and their lack of awareness of networks and services which could assist them (access to information). Identification of gaps in the existing data will facilitate these being addressed more effectively and aid reporting to the United Nations on the status of children in Palestine. A better knowledge of the facts and realities on the ground will also provide a foundation from which decision-makers can develop national policies and plans and set national priorities.</w:t>
            </w:r>
            <w:r w:rsidR="00CD3DEF" w:rsidRPr="003122A3">
              <w:rPr>
                <w:rFonts w:ascii="Times New Roman" w:hAnsi="Times New Roman" w:cs="Times New Roman"/>
                <w:sz w:val="24"/>
                <w:szCs w:val="24"/>
              </w:rPr>
              <w:t xml:space="preserve"> </w:t>
            </w:r>
            <w:r w:rsidRPr="003122A3">
              <w:rPr>
                <w:rFonts w:ascii="Times New Roman" w:hAnsi="Times New Roman" w:cs="Times New Roman"/>
                <w:sz w:val="24"/>
                <w:szCs w:val="24"/>
              </w:rPr>
              <w:t xml:space="preserve"> Existing data has typically been gathered when children have accessed services. </w:t>
            </w:r>
            <w:r w:rsidR="008875FE" w:rsidRPr="003122A3">
              <w:rPr>
                <w:rFonts w:ascii="Times New Roman" w:hAnsi="Times New Roman" w:cs="Times New Roman"/>
                <w:sz w:val="24"/>
                <w:szCs w:val="24"/>
              </w:rPr>
              <w:t>House hold</w:t>
            </w:r>
            <w:r w:rsidRPr="003122A3">
              <w:rPr>
                <w:rFonts w:ascii="Times New Roman" w:hAnsi="Times New Roman" w:cs="Times New Roman"/>
                <w:sz w:val="24"/>
                <w:szCs w:val="24"/>
              </w:rPr>
              <w:t xml:space="preserve"> surveys are therefore needed in order to gain a more comprehensive understanding of children’s issues. The fact that no program exists which identifies and tracks marginalized and vulnerable children means results in some distortion of the overall picture in terms of the situation of children. This report describes trends in the direction of national indicators on the rights of children and not on the data itself. The data is made available through health reports, an annual report providing statistics on Palestinian children, annual statistics for monitoring and evaluation conducted by the Ministry of Education and the annual reports of the Ministry of Social Affairs.</w:t>
            </w:r>
          </w:p>
        </w:tc>
      </w:tr>
      <w:tr w:rsidR="00600FC9" w:rsidRPr="003122A3" w:rsidTr="004F26A2">
        <w:tc>
          <w:tcPr>
            <w:tcW w:w="9286" w:type="dxa"/>
            <w:shd w:val="clear" w:color="auto" w:fill="auto"/>
          </w:tcPr>
          <w:p w:rsidR="00600FC9" w:rsidRPr="003122A3" w:rsidRDefault="00600FC9" w:rsidP="008E657F">
            <w:pPr>
              <w:jc w:val="both"/>
              <w:rPr>
                <w:rFonts w:ascii="Times New Roman" w:hAnsi="Times New Roman" w:cs="Times New Roman"/>
                <w:sz w:val="24"/>
                <w:szCs w:val="24"/>
              </w:rPr>
            </w:pPr>
            <w:r w:rsidRPr="003122A3">
              <w:rPr>
                <w:rFonts w:ascii="Times New Roman" w:hAnsi="Times New Roman" w:cs="Times New Roman"/>
                <w:sz w:val="24"/>
                <w:szCs w:val="24"/>
              </w:rPr>
              <w:t>This report reflects ongoing efforts to implement the Convention on the Rights of the Child in Palestine</w:t>
            </w:r>
            <w:r w:rsidR="002E3824">
              <w:rPr>
                <w:rFonts w:ascii="Times New Roman" w:hAnsi="Times New Roman" w:cs="Times New Roman"/>
                <w:sz w:val="24"/>
                <w:szCs w:val="24"/>
              </w:rPr>
              <w:t xml:space="preserve"> through producing the first report in 2010</w:t>
            </w:r>
            <w:r w:rsidRPr="003122A3">
              <w:rPr>
                <w:rFonts w:ascii="Times New Roman" w:hAnsi="Times New Roman" w:cs="Times New Roman"/>
                <w:sz w:val="24"/>
                <w:szCs w:val="24"/>
              </w:rPr>
              <w:t xml:space="preserve"> and to embody and institutionalize national indicators based on the rights of the child in various sectors within the framework of the role of PCBS in developing a system to monitor national indicators</w:t>
            </w:r>
          </w:p>
        </w:tc>
      </w:tr>
    </w:tbl>
    <w:p w:rsidR="00600FC9" w:rsidRPr="003122A3" w:rsidRDefault="00600FC9" w:rsidP="008E657F">
      <w:pPr>
        <w:jc w:val="both"/>
        <w:rPr>
          <w:rFonts w:ascii="Times New Roman" w:hAnsi="Times New Roman" w:cs="Times New Roman"/>
          <w:sz w:val="24"/>
          <w:szCs w:val="24"/>
        </w:rPr>
      </w:pPr>
      <w:r w:rsidRPr="003122A3">
        <w:rPr>
          <w:rFonts w:ascii="Times New Roman" w:hAnsi="Times New Roman" w:cs="Times New Roman"/>
          <w:sz w:val="24"/>
          <w:szCs w:val="24"/>
        </w:rPr>
        <w:br w:type="page"/>
      </w:r>
    </w:p>
    <w:p w:rsidR="00600FC9" w:rsidRDefault="00600FC9" w:rsidP="00195523">
      <w:pPr>
        <w:pStyle w:val="Heading2"/>
        <w:numPr>
          <w:ilvl w:val="1"/>
          <w:numId w:val="6"/>
        </w:numPr>
        <w:ind w:firstLineChars="0"/>
        <w:jc w:val="left"/>
        <w:rPr>
          <w:rFonts w:ascii="Times New Roman" w:hAnsi="Times New Roman" w:cs="Times New Roman"/>
          <w:sz w:val="24"/>
          <w:szCs w:val="24"/>
        </w:rPr>
      </w:pPr>
      <w:bookmarkStart w:id="4" w:name="_Toc420244960"/>
      <w:r w:rsidRPr="003122A3">
        <w:rPr>
          <w:rFonts w:ascii="Times New Roman" w:hAnsi="Times New Roman" w:cs="Times New Roman"/>
          <w:sz w:val="24"/>
          <w:szCs w:val="24"/>
        </w:rPr>
        <w:t>Definition of the Child</w:t>
      </w:r>
      <w:bookmarkEnd w:id="4"/>
      <w:r w:rsidRPr="003122A3">
        <w:rPr>
          <w:rFonts w:ascii="Times New Roman" w:hAnsi="Times New Roman" w:cs="Times New Roman"/>
          <w:sz w:val="24"/>
          <w:szCs w:val="24"/>
        </w:rPr>
        <w:t xml:space="preserve"> </w:t>
      </w:r>
    </w:p>
    <w:p w:rsidR="00DD3BC0" w:rsidRPr="00DD3BC0" w:rsidRDefault="00DD3BC0" w:rsidP="00DD3BC0">
      <w:pPr>
        <w:pStyle w:val="Heading3"/>
        <w:bidi w:val="0"/>
        <w:rPr>
          <w:sz w:val="24"/>
          <w:szCs w:val="24"/>
          <w:lang w:eastAsia="ar-SA"/>
        </w:rPr>
      </w:pPr>
    </w:p>
    <w:p w:rsidR="00600FC9" w:rsidRPr="003122A3" w:rsidRDefault="00600FC9" w:rsidP="008E657F">
      <w:pPr>
        <w:jc w:val="both"/>
        <w:rPr>
          <w:rFonts w:ascii="Times New Roman" w:hAnsi="Times New Roman" w:cs="Times New Roman"/>
          <w:sz w:val="24"/>
          <w:szCs w:val="24"/>
        </w:rPr>
      </w:pPr>
      <w:r w:rsidRPr="003122A3">
        <w:rPr>
          <w:rFonts w:ascii="Times New Roman" w:hAnsi="Times New Roman" w:cs="Times New Roman"/>
          <w:sz w:val="24"/>
          <w:szCs w:val="24"/>
        </w:rPr>
        <w:t>According to the Palestinian Child Law No. 7 of 2004 and its amendments, the child is defined as any human being under the age of eighteen years, including the unborn. Other laws, however, are not necessarily consistent with this definition in terms of the minimum age of legal responsibility and accountability. The following are examples:</w:t>
      </w:r>
    </w:p>
    <w:p w:rsidR="00177149" w:rsidRPr="003122A3" w:rsidRDefault="00600FC9" w:rsidP="008E657F">
      <w:pPr>
        <w:jc w:val="both"/>
        <w:rPr>
          <w:rFonts w:ascii="Times New Roman" w:hAnsi="Times New Roman" w:cs="Times New Roman"/>
          <w:sz w:val="24"/>
          <w:szCs w:val="24"/>
        </w:rPr>
      </w:pPr>
      <w:r w:rsidRPr="003122A3">
        <w:rPr>
          <w:rFonts w:ascii="Times New Roman" w:hAnsi="Times New Roman" w:cs="Times New Roman"/>
          <w:noProof/>
          <w:color w:val="FF0000"/>
          <w:sz w:val="24"/>
          <w:szCs w:val="24"/>
        </w:rPr>
        <w:drawing>
          <wp:inline distT="0" distB="0" distL="0" distR="0">
            <wp:extent cx="5274310" cy="3590925"/>
            <wp:effectExtent l="38100" t="0" r="40640" b="0"/>
            <wp:docPr id="59"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600FC9" w:rsidRPr="003122A3" w:rsidRDefault="00600FC9" w:rsidP="008E657F">
      <w:pPr>
        <w:jc w:val="both"/>
        <w:rPr>
          <w:rFonts w:ascii="Times New Roman" w:hAnsi="Times New Roman" w:cs="Times New Roman"/>
          <w:sz w:val="24"/>
          <w:szCs w:val="24"/>
        </w:rPr>
      </w:pPr>
      <w:r w:rsidRPr="003122A3">
        <w:rPr>
          <w:rFonts w:ascii="Times New Roman" w:hAnsi="Times New Roman" w:cs="Times New Roman"/>
          <w:sz w:val="24"/>
          <w:szCs w:val="24"/>
        </w:rPr>
        <w:t xml:space="preserve">A child under the age of eighteen is considered a juvenile. International laws advocate raising the minimum age for criminal responsibility and for provision of free services, child protection and participation without specifying a minimum legal age of responsibility; governments have the freedom to set and define this age. Incongruously, the Palestinian child has the right to marry at the age of 15-16 years, but is not entitled to vote or obtain a driver's license until the age of 18. Children over the age of 12 years may be introduced to court hearings (criminal accountability), but cannot testify or bear witness before the court under the age of 15 years. Also, the age of legal responsibility and accountability varies from one law to the next, as in the case of the amended Palestinian Child Law and laws dealing with labor, public health, penalties, juveniles and education.  Laws in force also vary between the West Bank and Gaza Strip. For example, the minimum age for marriage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is 18 years for males and 17 years for females (according to the </w:t>
      </w:r>
      <w:proofErr w:type="spellStart"/>
      <w:r w:rsidRPr="003122A3">
        <w:rPr>
          <w:rFonts w:ascii="Times New Roman" w:hAnsi="Times New Roman" w:cs="Times New Roman"/>
          <w:sz w:val="24"/>
          <w:szCs w:val="24"/>
        </w:rPr>
        <w:t>Hijri</w:t>
      </w:r>
      <w:proofErr w:type="spellEnd"/>
      <w:r w:rsidRPr="003122A3">
        <w:rPr>
          <w:rFonts w:ascii="Times New Roman" w:hAnsi="Times New Roman" w:cs="Times New Roman"/>
          <w:sz w:val="24"/>
          <w:szCs w:val="24"/>
        </w:rPr>
        <w:t xml:space="preserve"> calendar). The age also varies according to </w:t>
      </w:r>
      <w:proofErr w:type="spellStart"/>
      <w:r w:rsidRPr="003122A3">
        <w:rPr>
          <w:rFonts w:ascii="Times New Roman" w:hAnsi="Times New Roman" w:cs="Times New Roman"/>
          <w:sz w:val="24"/>
          <w:szCs w:val="24"/>
        </w:rPr>
        <w:t>Sharia</w:t>
      </w:r>
      <w:proofErr w:type="spellEnd"/>
      <w:r w:rsidRPr="003122A3">
        <w:rPr>
          <w:rFonts w:ascii="Times New Roman" w:hAnsi="Times New Roman" w:cs="Times New Roman"/>
          <w:sz w:val="24"/>
          <w:szCs w:val="24"/>
        </w:rPr>
        <w:t xml:space="preserve"> or church laws. There is clearly a need for the legal age of responsibility to be standardized across Palestinian legislation.</w:t>
      </w:r>
    </w:p>
    <w:p w:rsidR="004D0D19" w:rsidRPr="003122A3" w:rsidRDefault="004D0D19" w:rsidP="008E657F">
      <w:pPr>
        <w:jc w:val="both"/>
        <w:rPr>
          <w:rFonts w:ascii="Times New Roman" w:hAnsi="Times New Roman" w:cs="Times New Roman"/>
          <w:sz w:val="24"/>
          <w:szCs w:val="24"/>
          <w:rtl/>
        </w:rPr>
      </w:pPr>
    </w:p>
    <w:p w:rsidR="00C53924" w:rsidRDefault="00C53924" w:rsidP="008E657F">
      <w:pPr>
        <w:jc w:val="both"/>
        <w:rPr>
          <w:rFonts w:ascii="Times New Roman" w:hAnsi="Times New Roman" w:cs="Times New Roman"/>
          <w:b/>
          <w:bCs/>
          <w:sz w:val="24"/>
          <w:szCs w:val="24"/>
        </w:rPr>
      </w:pPr>
    </w:p>
    <w:p w:rsidR="00114218" w:rsidRPr="003122A3" w:rsidRDefault="00114218" w:rsidP="008E657F">
      <w:pPr>
        <w:jc w:val="both"/>
        <w:rPr>
          <w:rFonts w:ascii="Times New Roman" w:hAnsi="Times New Roman" w:cs="Times New Roman"/>
          <w:b/>
          <w:bCs/>
          <w:sz w:val="24"/>
          <w:szCs w:val="24"/>
          <w:rtl/>
        </w:rPr>
      </w:pPr>
    </w:p>
    <w:p w:rsidR="008E657F" w:rsidRDefault="00600FC9" w:rsidP="00040CB2">
      <w:pPr>
        <w:pStyle w:val="Heading2"/>
        <w:numPr>
          <w:ilvl w:val="1"/>
          <w:numId w:val="6"/>
        </w:numPr>
        <w:ind w:firstLineChars="0"/>
        <w:jc w:val="left"/>
        <w:rPr>
          <w:rFonts w:ascii="Times New Roman" w:hAnsi="Times New Roman" w:cs="Times New Roman"/>
          <w:sz w:val="24"/>
          <w:szCs w:val="24"/>
        </w:rPr>
      </w:pPr>
      <w:bookmarkStart w:id="5" w:name="_Toc420244961"/>
      <w:r w:rsidRPr="003122A3">
        <w:rPr>
          <w:rFonts w:ascii="Times New Roman" w:hAnsi="Times New Roman" w:cs="Times New Roman"/>
          <w:sz w:val="24"/>
          <w:szCs w:val="24"/>
        </w:rPr>
        <w:t>Monitoring the Children Rights</w:t>
      </w:r>
      <w:bookmarkEnd w:id="5"/>
      <w:r w:rsidRPr="003122A3">
        <w:rPr>
          <w:rFonts w:ascii="Times New Roman" w:hAnsi="Times New Roman" w:cs="Times New Roman"/>
          <w:sz w:val="24"/>
          <w:szCs w:val="24"/>
        </w:rPr>
        <w:t xml:space="preserve"> </w:t>
      </w:r>
    </w:p>
    <w:p w:rsidR="00DD3BC0" w:rsidRPr="00DD3BC0" w:rsidRDefault="00DD3BC0" w:rsidP="00DD3BC0">
      <w:pPr>
        <w:pStyle w:val="Heading3"/>
        <w:bidi w:val="0"/>
        <w:rPr>
          <w:sz w:val="24"/>
          <w:szCs w:val="24"/>
          <w:lang w:eastAsia="ar-SA"/>
        </w:rPr>
      </w:pPr>
    </w:p>
    <w:p w:rsidR="00600FC9" w:rsidRPr="003122A3" w:rsidRDefault="00600FC9" w:rsidP="00040CB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Improved access to reliable data would enhance the ability of government and other players to monitor and protect children's rights. Henceforth, the government and other players shall be held legally and ethically accountable to ensure that Palestinian children’s rights are addressed with transparency and accountability. Such a mechanism involves monitoring indicators measuring children’s wellbeing, subsequently, such indicators may constitute a reference to all other children related indicators rather than the other way around. Children’s rights are monitored primarily through the following mechanisms: </w:t>
      </w:r>
    </w:p>
    <w:p w:rsidR="00DD3BC0" w:rsidRPr="00DD3BC0" w:rsidRDefault="00DD3BC0" w:rsidP="00DD3BC0">
      <w:pPr>
        <w:pStyle w:val="Heading3"/>
        <w:bidi w:val="0"/>
        <w:rPr>
          <w:sz w:val="24"/>
          <w:szCs w:val="24"/>
          <w:lang w:eastAsia="ar-SA"/>
        </w:rPr>
      </w:pPr>
    </w:p>
    <w:p w:rsidR="004F26A2" w:rsidRPr="003122A3" w:rsidRDefault="004F26A2" w:rsidP="00D15966">
      <w:pPr>
        <w:jc w:val="both"/>
        <w:rPr>
          <w:rFonts w:ascii="Times New Roman" w:hAnsi="Times New Roman" w:cs="Times New Roman"/>
          <w:b/>
          <w:bCs/>
          <w:sz w:val="24"/>
          <w:szCs w:val="24"/>
        </w:rPr>
      </w:pPr>
      <w:r w:rsidRPr="003122A3">
        <w:rPr>
          <w:rFonts w:ascii="Times New Roman" w:hAnsi="Times New Roman" w:cs="Times New Roman"/>
          <w:b/>
          <w:bCs/>
          <w:sz w:val="24"/>
          <w:szCs w:val="24"/>
        </w:rPr>
        <w:t xml:space="preserve">Monitoring </w:t>
      </w:r>
      <w:r w:rsidR="00583D42" w:rsidRPr="003122A3">
        <w:rPr>
          <w:rFonts w:ascii="Times New Roman" w:hAnsi="Times New Roman" w:cs="Times New Roman"/>
          <w:b/>
          <w:bCs/>
          <w:sz w:val="24"/>
          <w:szCs w:val="24"/>
        </w:rPr>
        <w:t>Child Rights</w:t>
      </w:r>
      <w:r w:rsidR="00583D42" w:rsidRPr="003122A3">
        <w:rPr>
          <w:rFonts w:ascii="Times New Roman" w:hAnsi="Times New Roman" w:cs="Times New Roman"/>
          <w:sz w:val="24"/>
          <w:szCs w:val="24"/>
        </w:rPr>
        <w:t xml:space="preserve"> </w:t>
      </w:r>
      <w:r w:rsidRPr="003122A3">
        <w:rPr>
          <w:rFonts w:ascii="Times New Roman" w:hAnsi="Times New Roman" w:cs="Times New Roman"/>
          <w:b/>
          <w:bCs/>
          <w:sz w:val="24"/>
          <w:szCs w:val="24"/>
        </w:rPr>
        <w:t xml:space="preserve">Indicators in the National </w:t>
      </w:r>
      <w:r w:rsidR="00583D42" w:rsidRPr="003122A3">
        <w:rPr>
          <w:rFonts w:ascii="Times New Roman" w:hAnsi="Times New Roman" w:cs="Times New Roman"/>
          <w:b/>
          <w:bCs/>
          <w:sz w:val="24"/>
          <w:szCs w:val="24"/>
        </w:rPr>
        <w:t>Monitoring</w:t>
      </w:r>
      <w:r w:rsidRPr="003122A3">
        <w:rPr>
          <w:rFonts w:ascii="Times New Roman" w:hAnsi="Times New Roman" w:cs="Times New Roman"/>
          <w:b/>
          <w:bCs/>
          <w:sz w:val="24"/>
          <w:szCs w:val="24"/>
        </w:rPr>
        <w:t xml:space="preserve"> System</w:t>
      </w:r>
    </w:p>
    <w:p w:rsidR="004F26A2" w:rsidRPr="003122A3" w:rsidRDefault="004F26A2" w:rsidP="00040CB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On the recommendation of its advisory council, PCBS established a statistical monitoring system in 2011 which maintains a comprehensive database.  The Council of Ministers established, by decree, a national team to manage the system which is chaired by PCBS and includes representatives from several ministries, including the Ministries of Planning and Administrative Development, Health, Finance, Education, Women's Affairs and Social Affairs. The team is tasked with establishing a surveillance system and developing indicators, creating an inventory of data sources for indicators in the monitoring system, collecting required data from the records of public and private institutions, developing tools and methodologies for collecting data for the monitoring system, reviewing and overseeing activities implemented within the statistical monitoring system, reviewing and evaluating outputs and outcomes and reporting on and controlling the flow of work. The team is also required to form taskforce committees on various sectors or topics covered by the system, including governance, security, justice, labor, economy and living standards, international cooperation, education, culture, health, population, children, women and young people, rights violations by Israel and the apartheid wall.</w:t>
      </w:r>
    </w:p>
    <w:p w:rsidR="00DD3BC0" w:rsidRPr="00DD3BC0" w:rsidRDefault="00DD3BC0" w:rsidP="00DD3BC0">
      <w:pPr>
        <w:pStyle w:val="Heading3"/>
        <w:bidi w:val="0"/>
        <w:rPr>
          <w:sz w:val="24"/>
          <w:szCs w:val="24"/>
          <w:lang w:eastAsia="ar-SA"/>
        </w:rPr>
      </w:pPr>
    </w:p>
    <w:p w:rsidR="004F26A2" w:rsidRPr="003122A3" w:rsidRDefault="004F26A2"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Monitoring of Violations of Children’s Rights by the Independent Commission for Human Rights (ICHR)</w:t>
      </w:r>
    </w:p>
    <w:p w:rsidR="004F26A2" w:rsidRDefault="004F26A2" w:rsidP="00040CB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Independent Commission for Human Rights  investigates complaints filed by members of the public and prepares periodic reports on human rights violations. In 2012, a special unit was established for complaints and the monitoring of violations of children's rights run by field researchers in 5 geographical areas:  the northern, central and southern West Bank and the northern and southern Gaza Strip. In addition, </w:t>
      </w:r>
      <w:r w:rsidR="00D15966" w:rsidRPr="003122A3">
        <w:rPr>
          <w:rFonts w:ascii="Times New Roman" w:hAnsi="Times New Roman" w:cs="Times New Roman"/>
          <w:sz w:val="24"/>
          <w:szCs w:val="24"/>
        </w:rPr>
        <w:t>T</w:t>
      </w:r>
      <w:r w:rsidRPr="003122A3">
        <w:rPr>
          <w:rFonts w:ascii="Times New Roman" w:hAnsi="Times New Roman" w:cs="Times New Roman"/>
          <w:sz w:val="24"/>
          <w:szCs w:val="24"/>
        </w:rPr>
        <w:t>he IC</w:t>
      </w:r>
      <w:r w:rsidR="00D15966" w:rsidRPr="003122A3">
        <w:rPr>
          <w:rFonts w:ascii="Times New Roman" w:hAnsi="Times New Roman" w:cs="Times New Roman"/>
          <w:sz w:val="24"/>
          <w:szCs w:val="24"/>
        </w:rPr>
        <w:t>HR</w:t>
      </w:r>
      <w:r w:rsidRPr="003122A3">
        <w:rPr>
          <w:rFonts w:ascii="Times New Roman" w:hAnsi="Times New Roman" w:cs="Times New Roman"/>
          <w:sz w:val="24"/>
          <w:szCs w:val="24"/>
        </w:rPr>
        <w:t xml:space="preserve"> monitors the courts and reviews national laws and policies for their consistency with children’s rights.</w:t>
      </w:r>
    </w:p>
    <w:p w:rsidR="00040CB2" w:rsidRPr="003122A3" w:rsidRDefault="00040CB2" w:rsidP="00040CB2">
      <w:pPr>
        <w:spacing w:after="0" w:line="240" w:lineRule="auto"/>
        <w:jc w:val="both"/>
        <w:rPr>
          <w:rFonts w:ascii="Times New Roman" w:hAnsi="Times New Roman" w:cs="Times New Roman"/>
          <w:sz w:val="24"/>
          <w:szCs w:val="24"/>
        </w:rPr>
      </w:pPr>
    </w:p>
    <w:p w:rsidR="00D1104C" w:rsidRPr="003122A3" w:rsidRDefault="004F26A2" w:rsidP="008E657F">
      <w:pPr>
        <w:jc w:val="both"/>
        <w:rPr>
          <w:rFonts w:ascii="Times New Roman" w:eastAsia="Times New Roman" w:hAnsi="Times New Roman" w:cs="Times New Roman"/>
          <w:b/>
          <w:bCs/>
          <w:sz w:val="24"/>
          <w:szCs w:val="24"/>
        </w:rPr>
      </w:pPr>
      <w:r w:rsidRPr="003122A3">
        <w:rPr>
          <w:rFonts w:ascii="Times New Roman" w:eastAsia="Times New Roman" w:hAnsi="Times New Roman" w:cs="Times New Roman"/>
          <w:b/>
          <w:bCs/>
          <w:sz w:val="24"/>
          <w:szCs w:val="24"/>
        </w:rPr>
        <w:t>Documentation of Abuses by National and International Civil Rights Organizations</w:t>
      </w:r>
    </w:p>
    <w:p w:rsidR="004F26A2" w:rsidRDefault="004F26A2" w:rsidP="00040CB2">
      <w:pPr>
        <w:spacing w:after="0" w:line="240" w:lineRule="auto"/>
        <w:jc w:val="both"/>
        <w:rPr>
          <w:rFonts w:ascii="Times New Roman" w:eastAsia="Times New Roman" w:hAnsi="Times New Roman" w:cs="Times New Roman"/>
          <w:sz w:val="24"/>
          <w:szCs w:val="24"/>
        </w:rPr>
      </w:pPr>
      <w:r w:rsidRPr="00040CB2">
        <w:rPr>
          <w:rFonts w:ascii="Times New Roman" w:hAnsi="Times New Roman" w:cs="Times New Roman"/>
          <w:sz w:val="24"/>
          <w:szCs w:val="24"/>
        </w:rPr>
        <w:t xml:space="preserve">Numerous organizations monitor and document the violations of </w:t>
      </w:r>
      <w:proofErr w:type="spellStart"/>
      <w:r w:rsidRPr="00040CB2">
        <w:rPr>
          <w:rFonts w:ascii="Times New Roman" w:hAnsi="Times New Roman" w:cs="Times New Roman"/>
          <w:sz w:val="24"/>
          <w:szCs w:val="24"/>
        </w:rPr>
        <w:t>Palesitnian</w:t>
      </w:r>
      <w:proofErr w:type="spellEnd"/>
      <w:r w:rsidRPr="00040CB2">
        <w:rPr>
          <w:rFonts w:ascii="Times New Roman" w:hAnsi="Times New Roman" w:cs="Times New Roman"/>
          <w:sz w:val="24"/>
          <w:szCs w:val="24"/>
        </w:rPr>
        <w:t xml:space="preserve"> children’s rights by the Israeli occupation and settlers. Local civil society organizations document such violations in the shadow report and other periodic reports produced through the 1612 group monitoring system. Other international organizations including Save the Children, UNICEF and OCHA as well as </w:t>
      </w:r>
      <w:proofErr w:type="spellStart"/>
      <w:r w:rsidRPr="00040CB2">
        <w:rPr>
          <w:rFonts w:ascii="Times New Roman" w:hAnsi="Times New Roman" w:cs="Times New Roman"/>
          <w:sz w:val="24"/>
          <w:szCs w:val="24"/>
        </w:rPr>
        <w:t>Defence</w:t>
      </w:r>
      <w:proofErr w:type="spellEnd"/>
      <w:r w:rsidRPr="00040CB2">
        <w:rPr>
          <w:rFonts w:ascii="Times New Roman" w:hAnsi="Times New Roman" w:cs="Times New Roman"/>
          <w:sz w:val="24"/>
          <w:szCs w:val="24"/>
        </w:rPr>
        <w:t xml:space="preserve"> of Child International also document such violations; however, such organizations generally lack the political will to oppose these violations on the ground in any meaningful way and the United </w:t>
      </w:r>
      <w:proofErr w:type="spellStart"/>
      <w:r w:rsidRPr="00040CB2">
        <w:rPr>
          <w:rFonts w:ascii="Times New Roman" w:hAnsi="Times New Roman" w:cs="Times New Roman"/>
          <w:sz w:val="24"/>
          <w:szCs w:val="24"/>
        </w:rPr>
        <w:t>Nationas</w:t>
      </w:r>
      <w:proofErr w:type="spellEnd"/>
      <w:r w:rsidRPr="00040CB2">
        <w:rPr>
          <w:rFonts w:ascii="Times New Roman" w:hAnsi="Times New Roman" w:cs="Times New Roman"/>
          <w:sz w:val="24"/>
          <w:szCs w:val="24"/>
        </w:rPr>
        <w:t xml:space="preserve"> failed to hold Israel accountable as an occupying authority for these violations. Sometimes neutral expressions are used to describe the </w:t>
      </w:r>
      <w:proofErr w:type="spellStart"/>
      <w:r w:rsidRPr="00040CB2">
        <w:rPr>
          <w:rFonts w:ascii="Times New Roman" w:hAnsi="Times New Roman" w:cs="Times New Roman"/>
          <w:sz w:val="24"/>
          <w:szCs w:val="24"/>
        </w:rPr>
        <w:t>vilations</w:t>
      </w:r>
      <w:proofErr w:type="spellEnd"/>
      <w:r w:rsidRPr="00040CB2">
        <w:rPr>
          <w:rFonts w:ascii="Times New Roman" w:hAnsi="Times New Roman" w:cs="Times New Roman"/>
          <w:sz w:val="24"/>
          <w:szCs w:val="24"/>
        </w:rPr>
        <w:t>. This level of monitoring and documentation is barely sufficient and ongoing reporting and strategic action at both local and</w:t>
      </w:r>
      <w:r w:rsidRPr="003122A3">
        <w:rPr>
          <w:rFonts w:ascii="Times New Roman" w:eastAsia="Times New Roman" w:hAnsi="Times New Roman" w:cs="Times New Roman"/>
          <w:sz w:val="24"/>
          <w:szCs w:val="24"/>
        </w:rPr>
        <w:t xml:space="preserve"> international levels are needed to halt the violation of children’s rights, regardless of </w:t>
      </w:r>
      <w:proofErr w:type="spellStart"/>
      <w:r w:rsidRPr="003122A3">
        <w:rPr>
          <w:rFonts w:ascii="Times New Roman" w:eastAsia="Times New Roman" w:hAnsi="Times New Roman" w:cs="Times New Roman"/>
          <w:sz w:val="24"/>
          <w:szCs w:val="24"/>
        </w:rPr>
        <w:t>whoe</w:t>
      </w:r>
      <w:proofErr w:type="spellEnd"/>
      <w:r w:rsidRPr="003122A3">
        <w:rPr>
          <w:rFonts w:ascii="Times New Roman" w:eastAsia="Times New Roman" w:hAnsi="Times New Roman" w:cs="Times New Roman"/>
          <w:sz w:val="24"/>
          <w:szCs w:val="24"/>
        </w:rPr>
        <w:t xml:space="preserve"> the perpetrator is. </w:t>
      </w:r>
    </w:p>
    <w:p w:rsidR="00040CB2" w:rsidRDefault="00040CB2" w:rsidP="00040CB2">
      <w:pPr>
        <w:spacing w:after="0" w:line="240" w:lineRule="auto"/>
        <w:jc w:val="both"/>
        <w:rPr>
          <w:rFonts w:ascii="Times New Roman" w:eastAsia="Times New Roman" w:hAnsi="Times New Roman" w:cs="Times New Roman"/>
          <w:sz w:val="24"/>
          <w:szCs w:val="24"/>
        </w:rPr>
      </w:pPr>
    </w:p>
    <w:p w:rsidR="00040CB2" w:rsidRDefault="00040CB2" w:rsidP="00040CB2">
      <w:pPr>
        <w:spacing w:after="0" w:line="240" w:lineRule="auto"/>
        <w:jc w:val="both"/>
        <w:rPr>
          <w:rFonts w:ascii="Times New Roman" w:eastAsia="Times New Roman" w:hAnsi="Times New Roman" w:cs="Times New Roman"/>
          <w:sz w:val="24"/>
          <w:szCs w:val="24"/>
        </w:rPr>
      </w:pPr>
    </w:p>
    <w:p w:rsidR="00040CB2" w:rsidRPr="003122A3" w:rsidRDefault="00040CB2" w:rsidP="00040CB2">
      <w:pPr>
        <w:spacing w:after="0" w:line="240" w:lineRule="auto"/>
        <w:jc w:val="both"/>
        <w:rPr>
          <w:rFonts w:ascii="Times New Roman" w:eastAsia="Times New Roman" w:hAnsi="Times New Roman" w:cs="Times New Roman"/>
          <w:sz w:val="24"/>
          <w:szCs w:val="24"/>
        </w:rPr>
      </w:pPr>
    </w:p>
    <w:p w:rsidR="005507E6" w:rsidRPr="003122A3" w:rsidRDefault="005507E6" w:rsidP="008E657F">
      <w:pPr>
        <w:jc w:val="both"/>
        <w:rPr>
          <w:rFonts w:ascii="Times New Roman" w:eastAsia="Times New Roman" w:hAnsi="Times New Roman" w:cs="Times New Roman"/>
          <w:sz w:val="24"/>
          <w:szCs w:val="24"/>
          <w:rtl/>
        </w:rPr>
      </w:pPr>
      <w:r w:rsidRPr="003122A3">
        <w:rPr>
          <w:rFonts w:ascii="Times New Roman" w:eastAsia="Times New Roman" w:hAnsi="Times New Roman" w:cs="Times New Roman"/>
          <w:noProof/>
          <w:sz w:val="24"/>
          <w:szCs w:val="24"/>
          <w:rtl/>
        </w:rPr>
        <w:drawing>
          <wp:inline distT="0" distB="0" distL="0" distR="0">
            <wp:extent cx="5753100" cy="2257425"/>
            <wp:effectExtent l="0" t="19050" r="0" b="0"/>
            <wp:docPr id="69"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8327B3" w:rsidRPr="003122A3" w:rsidRDefault="008F57C8" w:rsidP="008E657F">
      <w:pPr>
        <w:jc w:val="both"/>
        <w:rPr>
          <w:rFonts w:ascii="Times New Roman" w:eastAsia="Times New Roman" w:hAnsi="Times New Roman" w:cs="Times New Roman"/>
          <w:sz w:val="24"/>
          <w:szCs w:val="24"/>
          <w:rtl/>
        </w:rPr>
      </w:pPr>
      <w:r>
        <w:rPr>
          <w:rFonts w:ascii="Times New Roman" w:eastAsia="Times New Roman" w:hAnsi="Times New Roman" w:cs="Times New Roman"/>
          <w:noProof/>
          <w:sz w:val="24"/>
          <w:szCs w:val="24"/>
          <w:rtl/>
        </w:rPr>
        <w:pict>
          <v:oval id="Oval 2" o:spid="_x0000_s1026" style="position:absolute;left:0;text-align:left;margin-left:164.1pt;margin-top:98.45pt;width:128pt;height:132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" fillcolor="#c2d69b [1942]" strokecolor="#c2d69b [1942]" strokeweight="1pt">
            <v:fill color2="#eaf1dd [662]" angle="135" focus="50%" type="gradient"/>
            <v:shadow color="#4e6128 [1606]" opacity=".5" offset="1pt"/>
            <v:textbox style="mso-next-textbox:#Oval 2">
              <w:txbxContent>
                <w:p w:rsidR="00087F5C" w:rsidRDefault="00087F5C" w:rsidP="004307DF">
                  <w:pPr>
                    <w:jc w:val="center"/>
                    <w:rPr>
                      <w:b/>
                      <w:bCs/>
                      <w:sz w:val="24"/>
                      <w:szCs w:val="24"/>
                    </w:rPr>
                  </w:pPr>
                  <w:r>
                    <w:rPr>
                      <w:b/>
                      <w:bCs/>
                      <w:sz w:val="24"/>
                      <w:szCs w:val="24"/>
                    </w:rPr>
                    <w:t>Government</w:t>
                  </w:r>
                </w:p>
                <w:p w:rsidR="00087F5C" w:rsidRDefault="00087F5C" w:rsidP="004307DF">
                  <w:pPr>
                    <w:jc w:val="center"/>
                    <w:rPr>
                      <w:sz w:val="24"/>
                      <w:szCs w:val="24"/>
                    </w:rPr>
                  </w:pPr>
                  <w:r>
                    <w:rPr>
                      <w:sz w:val="24"/>
                      <w:szCs w:val="24"/>
                    </w:rPr>
                    <w:t>Civil society</w:t>
                  </w:r>
                </w:p>
                <w:p w:rsidR="00087F5C" w:rsidRPr="004F26A2" w:rsidRDefault="00087F5C" w:rsidP="004307DF">
                  <w:pPr>
                    <w:jc w:val="center"/>
                    <w:rPr>
                      <w:sz w:val="24"/>
                      <w:szCs w:val="24"/>
                    </w:rPr>
                  </w:pPr>
                  <w:r>
                    <w:rPr>
                      <w:sz w:val="24"/>
                      <w:szCs w:val="24"/>
                    </w:rPr>
                    <w:t>International community</w:t>
                  </w:r>
                </w:p>
              </w:txbxContent>
            </v:textbox>
          </v:oval>
        </w:pict>
      </w:r>
      <w:r w:rsidR="001C485D" w:rsidRPr="003122A3">
        <w:rPr>
          <w:rFonts w:ascii="Times New Roman" w:eastAsia="Times New Roman" w:hAnsi="Times New Roman" w:cs="Times New Roman"/>
          <w:noProof/>
          <w:sz w:val="24"/>
          <w:szCs w:val="24"/>
          <w:rtl/>
        </w:rPr>
        <w:drawing>
          <wp:inline distT="0" distB="0" distL="0" distR="0">
            <wp:extent cx="5781675" cy="3952875"/>
            <wp:effectExtent l="0" t="95250" r="0" b="85725"/>
            <wp:docPr id="5"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040CB2" w:rsidRDefault="00040CB2" w:rsidP="008327B3">
      <w:pPr>
        <w:tabs>
          <w:tab w:val="left" w:pos="4245"/>
        </w:tabs>
        <w:rPr>
          <w:rFonts w:ascii="Times New Roman" w:eastAsia="Times New Roman" w:hAnsi="Times New Roman" w:cs="Times New Roman"/>
          <w:sz w:val="24"/>
          <w:szCs w:val="24"/>
        </w:rPr>
      </w:pPr>
    </w:p>
    <w:p w:rsidR="00040CB2" w:rsidRDefault="00040CB2" w:rsidP="008327B3">
      <w:pPr>
        <w:tabs>
          <w:tab w:val="left" w:pos="4245"/>
        </w:tabs>
        <w:rPr>
          <w:rFonts w:ascii="Times New Roman" w:eastAsia="Times New Roman" w:hAnsi="Times New Roman" w:cs="Times New Roman"/>
          <w:sz w:val="24"/>
          <w:szCs w:val="24"/>
        </w:rPr>
      </w:pPr>
    </w:p>
    <w:p w:rsidR="001C485D" w:rsidRPr="003122A3" w:rsidRDefault="008327B3" w:rsidP="008327B3">
      <w:pPr>
        <w:tabs>
          <w:tab w:val="left" w:pos="4245"/>
        </w:tabs>
        <w:rPr>
          <w:rFonts w:ascii="Times New Roman" w:eastAsia="Times New Roman" w:hAnsi="Times New Roman" w:cs="Times New Roman"/>
          <w:sz w:val="24"/>
          <w:szCs w:val="24"/>
          <w:rtl/>
        </w:rPr>
      </w:pPr>
      <w:r w:rsidRPr="003122A3">
        <w:rPr>
          <w:rFonts w:ascii="Times New Roman" w:eastAsia="Times New Roman" w:hAnsi="Times New Roman" w:cs="Times New Roman"/>
          <w:sz w:val="24"/>
          <w:szCs w:val="24"/>
        </w:rPr>
        <w:tab/>
      </w:r>
    </w:p>
    <w:p w:rsidR="004F26A2" w:rsidRPr="003122A3" w:rsidRDefault="004F26A2" w:rsidP="00195523">
      <w:pPr>
        <w:jc w:val="both"/>
        <w:rPr>
          <w:rFonts w:ascii="Times New Roman" w:hAnsi="Times New Roman" w:cs="Times New Roman"/>
          <w:sz w:val="24"/>
          <w:szCs w:val="24"/>
        </w:rPr>
      </w:pPr>
      <w:bookmarkStart w:id="6" w:name="_Toc420244962"/>
      <w:r w:rsidRPr="003122A3">
        <w:rPr>
          <w:rStyle w:val="Heading2Char"/>
          <w:rFonts w:ascii="Times New Roman" w:hAnsi="Times New Roman" w:cs="Times New Roman"/>
          <w:sz w:val="24"/>
          <w:szCs w:val="24"/>
        </w:rPr>
        <w:t>1.4 Sources of Information and Statistics on Children’s Rights and Information-Related Problems</w:t>
      </w:r>
      <w:bookmarkEnd w:id="6"/>
      <w:r w:rsidRPr="003122A3">
        <w:rPr>
          <w:rStyle w:val="FootnoteReference"/>
          <w:rFonts w:ascii="Times New Roman" w:hAnsi="Times New Roman" w:cs="Times New Roman"/>
          <w:b/>
          <w:bCs/>
          <w:sz w:val="24"/>
          <w:szCs w:val="24"/>
        </w:rPr>
        <w:footnoteReference w:id="1"/>
      </w:r>
    </w:p>
    <w:p w:rsidR="00D1104C" w:rsidRDefault="003225E3" w:rsidP="00E409DA">
      <w:pPr>
        <w:spacing w:after="0" w:line="240" w:lineRule="auto"/>
        <w:jc w:val="both"/>
        <w:rPr>
          <w:rStyle w:val="longtext"/>
          <w:sz w:val="24"/>
          <w:szCs w:val="24"/>
          <w:lang w:bidi="ar-JO"/>
        </w:rPr>
      </w:pPr>
      <w:r w:rsidRPr="003122A3">
        <w:rPr>
          <w:rStyle w:val="longtext"/>
          <w:sz w:val="24"/>
          <w:szCs w:val="24"/>
          <w:lang w:bidi="ar-JO"/>
        </w:rPr>
        <w:t xml:space="preserve">The General Statistics Law No 4 of 2000 states that the PCBS is the sole national institution charged with producing comprehensive and consistent statistical analysis of demographics, social, economic and environmental services and conditions in Palestinian society in order to provide Palestinian ministries and institutions with data needed to effectively diagnose problems and evaluate progress. It is tasked with conducting population, housing and agricultural </w:t>
      </w:r>
      <w:proofErr w:type="spellStart"/>
      <w:r w:rsidRPr="003122A3">
        <w:rPr>
          <w:rStyle w:val="longtext"/>
          <w:sz w:val="24"/>
          <w:szCs w:val="24"/>
          <w:lang w:bidi="ar-JO"/>
        </w:rPr>
        <w:t>censuese</w:t>
      </w:r>
      <w:proofErr w:type="spellEnd"/>
      <w:r w:rsidRPr="003122A3">
        <w:rPr>
          <w:rStyle w:val="longtext"/>
          <w:sz w:val="24"/>
          <w:szCs w:val="24"/>
          <w:lang w:bidi="ar-JO"/>
        </w:rPr>
        <w:t xml:space="preserve"> every 10 years and a census of </w:t>
      </w:r>
      <w:proofErr w:type="spellStart"/>
      <w:r w:rsidRPr="003122A3">
        <w:rPr>
          <w:rStyle w:val="longtext"/>
          <w:sz w:val="24"/>
          <w:szCs w:val="24"/>
          <w:lang w:bidi="ar-JO"/>
        </w:rPr>
        <w:t>estbalishments</w:t>
      </w:r>
      <w:proofErr w:type="spellEnd"/>
      <w:r w:rsidRPr="003122A3">
        <w:rPr>
          <w:rStyle w:val="longtext"/>
          <w:sz w:val="24"/>
          <w:szCs w:val="24"/>
          <w:lang w:bidi="ar-JO"/>
        </w:rPr>
        <w:t xml:space="preserve"> every 4 years. </w:t>
      </w:r>
      <w:proofErr w:type="spellStart"/>
      <w:r w:rsidRPr="003122A3">
        <w:rPr>
          <w:rStyle w:val="longtext"/>
          <w:sz w:val="24"/>
          <w:szCs w:val="24"/>
          <w:lang w:bidi="ar-JO"/>
        </w:rPr>
        <w:t>Furhtermore</w:t>
      </w:r>
      <w:proofErr w:type="spellEnd"/>
      <w:r w:rsidRPr="003122A3">
        <w:rPr>
          <w:rStyle w:val="longtext"/>
          <w:sz w:val="24"/>
          <w:szCs w:val="24"/>
          <w:lang w:bidi="ar-JO"/>
        </w:rPr>
        <w:t xml:space="preserve">, since its inception in 1993, PCBS began collection of data from administrative reports and endeavored to improve the quality, timely and inclusiveness of such records. It implemented, for this </w:t>
      </w:r>
      <w:proofErr w:type="spellStart"/>
      <w:r w:rsidRPr="003122A3">
        <w:rPr>
          <w:rStyle w:val="longtext"/>
          <w:sz w:val="24"/>
          <w:szCs w:val="24"/>
          <w:lang w:bidi="ar-JO"/>
        </w:rPr>
        <w:t>purose</w:t>
      </w:r>
      <w:proofErr w:type="spellEnd"/>
      <w:r w:rsidRPr="003122A3">
        <w:rPr>
          <w:rStyle w:val="longtext"/>
          <w:sz w:val="24"/>
          <w:szCs w:val="24"/>
          <w:lang w:bidi="ar-JO"/>
        </w:rPr>
        <w:t xml:space="preserve">, a number of specialized workshops and signed </w:t>
      </w:r>
      <w:proofErr w:type="spellStart"/>
      <w:r w:rsidRPr="003122A3">
        <w:rPr>
          <w:rStyle w:val="longtext"/>
          <w:sz w:val="24"/>
          <w:szCs w:val="24"/>
          <w:lang w:bidi="ar-JO"/>
        </w:rPr>
        <w:t>MoU’s</w:t>
      </w:r>
      <w:proofErr w:type="spellEnd"/>
      <w:r w:rsidRPr="003122A3">
        <w:rPr>
          <w:rStyle w:val="longtext"/>
          <w:sz w:val="24"/>
          <w:szCs w:val="24"/>
          <w:lang w:bidi="ar-JO"/>
        </w:rPr>
        <w:t xml:space="preserve"> with line ministries and </w:t>
      </w:r>
      <w:proofErr w:type="spellStart"/>
      <w:r w:rsidRPr="003122A3">
        <w:rPr>
          <w:rStyle w:val="longtext"/>
          <w:sz w:val="24"/>
          <w:szCs w:val="24"/>
          <w:lang w:bidi="ar-JO"/>
        </w:rPr>
        <w:t>instititons</w:t>
      </w:r>
      <w:proofErr w:type="spellEnd"/>
      <w:r w:rsidRPr="003122A3">
        <w:rPr>
          <w:rStyle w:val="longtext"/>
          <w:sz w:val="24"/>
          <w:szCs w:val="24"/>
          <w:lang w:bidi="ar-JO"/>
        </w:rPr>
        <w:t xml:space="preserve">. PCBS yearly collects data from administrative records using 111 templates distributed to all concerned ministries and </w:t>
      </w:r>
      <w:proofErr w:type="spellStart"/>
      <w:r w:rsidRPr="003122A3">
        <w:rPr>
          <w:rStyle w:val="longtext"/>
          <w:sz w:val="24"/>
          <w:szCs w:val="24"/>
          <w:lang w:bidi="ar-JO"/>
        </w:rPr>
        <w:t>institions</w:t>
      </w:r>
      <w:proofErr w:type="spellEnd"/>
      <w:r w:rsidRPr="003122A3">
        <w:rPr>
          <w:rStyle w:val="longtext"/>
          <w:sz w:val="24"/>
          <w:szCs w:val="24"/>
          <w:lang w:bidi="ar-JO"/>
        </w:rPr>
        <w:t xml:space="preserve"> covering 650 indicators on demographic and social statistics including children’s rights indicators, geo-economic statistics and population registries. Data is published quarterly, semi-annually and annually to cover all previously stated topics. They also feed the report on the status of Palestinian children, which is published annually by PCBS.</w:t>
      </w:r>
    </w:p>
    <w:p w:rsidR="00E409DA" w:rsidRPr="003122A3" w:rsidRDefault="00E409DA" w:rsidP="00E409DA">
      <w:pPr>
        <w:spacing w:after="0" w:line="240" w:lineRule="auto"/>
        <w:jc w:val="both"/>
        <w:rPr>
          <w:rStyle w:val="longtext"/>
          <w:sz w:val="24"/>
          <w:szCs w:val="24"/>
          <w:rtl/>
          <w:lang w:bidi="ar-JO"/>
        </w:rPr>
      </w:pPr>
    </w:p>
    <w:p w:rsidR="00206235" w:rsidRPr="00E409DA" w:rsidRDefault="003225E3" w:rsidP="00E409DA">
      <w:pPr>
        <w:spacing w:after="0" w:line="240" w:lineRule="auto"/>
        <w:jc w:val="both"/>
        <w:rPr>
          <w:rStyle w:val="longtext"/>
          <w:sz w:val="24"/>
          <w:szCs w:val="24"/>
          <w:lang w:bidi="ar-JO"/>
        </w:rPr>
      </w:pPr>
      <w:r w:rsidRPr="00E409DA">
        <w:rPr>
          <w:rStyle w:val="longtext"/>
          <w:sz w:val="24"/>
          <w:szCs w:val="24"/>
          <w:lang w:bidi="ar-JO"/>
        </w:rPr>
        <w:t xml:space="preserve">Ministries within the </w:t>
      </w:r>
      <w:proofErr w:type="spellStart"/>
      <w:r w:rsidRPr="00E409DA">
        <w:rPr>
          <w:rStyle w:val="longtext"/>
          <w:sz w:val="24"/>
          <w:szCs w:val="24"/>
          <w:lang w:bidi="ar-JO"/>
        </w:rPr>
        <w:t>Palesitnian</w:t>
      </w:r>
      <w:proofErr w:type="spellEnd"/>
      <w:r w:rsidRPr="00E409DA">
        <w:rPr>
          <w:rStyle w:val="longtext"/>
          <w:sz w:val="24"/>
          <w:szCs w:val="24"/>
          <w:lang w:bidi="ar-JO"/>
        </w:rPr>
        <w:t xml:space="preserve"> government collect data and monitor implementation and progress within their programs and </w:t>
      </w:r>
      <w:proofErr w:type="spellStart"/>
      <w:r w:rsidRPr="00E409DA">
        <w:rPr>
          <w:rStyle w:val="longtext"/>
          <w:sz w:val="24"/>
          <w:szCs w:val="24"/>
          <w:lang w:bidi="ar-JO"/>
        </w:rPr>
        <w:t>trakc</w:t>
      </w:r>
      <w:proofErr w:type="spellEnd"/>
      <w:r w:rsidRPr="00E409DA">
        <w:rPr>
          <w:rStyle w:val="longtext"/>
          <w:sz w:val="24"/>
          <w:szCs w:val="24"/>
          <w:lang w:bidi="ar-JO"/>
        </w:rPr>
        <w:t xml:space="preserve"> the indicators for their specific sectors. Data is collected at regional and national levels and are evaluated. PCBS receives </w:t>
      </w:r>
      <w:proofErr w:type="spellStart"/>
      <w:r w:rsidRPr="00E409DA">
        <w:rPr>
          <w:rStyle w:val="longtext"/>
          <w:sz w:val="24"/>
          <w:szCs w:val="24"/>
          <w:lang w:bidi="ar-JO"/>
        </w:rPr>
        <w:t>sectoral</w:t>
      </w:r>
      <w:proofErr w:type="spellEnd"/>
      <w:r w:rsidRPr="00E409DA">
        <w:rPr>
          <w:rStyle w:val="longtext"/>
          <w:sz w:val="24"/>
          <w:szCs w:val="24"/>
          <w:lang w:bidi="ar-JO"/>
        </w:rPr>
        <w:t xml:space="preserve"> data from partners in the private sector, civil society and UNRWA; moreover, the Palestinian </w:t>
      </w:r>
      <w:proofErr w:type="spellStart"/>
      <w:r w:rsidRPr="00E409DA">
        <w:rPr>
          <w:rStyle w:val="longtext"/>
          <w:sz w:val="24"/>
          <w:szCs w:val="24"/>
          <w:lang w:bidi="ar-JO"/>
        </w:rPr>
        <w:t>instituions</w:t>
      </w:r>
      <w:proofErr w:type="spellEnd"/>
      <w:r w:rsidRPr="00E409DA">
        <w:rPr>
          <w:rStyle w:val="longtext"/>
          <w:sz w:val="24"/>
          <w:szCs w:val="24"/>
          <w:lang w:bidi="ar-JO"/>
        </w:rPr>
        <w:t xml:space="preserve"> submit quarterly and annual reports to the </w:t>
      </w:r>
      <w:proofErr w:type="spellStart"/>
      <w:r w:rsidRPr="00E409DA">
        <w:rPr>
          <w:rStyle w:val="longtext"/>
          <w:sz w:val="24"/>
          <w:szCs w:val="24"/>
          <w:lang w:bidi="ar-JO"/>
        </w:rPr>
        <w:t>Minsiterial</w:t>
      </w:r>
      <w:proofErr w:type="spellEnd"/>
      <w:r w:rsidRPr="00E409DA">
        <w:rPr>
          <w:rStyle w:val="longtext"/>
          <w:sz w:val="24"/>
          <w:szCs w:val="24"/>
          <w:lang w:bidi="ar-JO"/>
        </w:rPr>
        <w:t xml:space="preserve"> Council and the </w:t>
      </w:r>
      <w:proofErr w:type="spellStart"/>
      <w:r w:rsidRPr="00E409DA">
        <w:rPr>
          <w:rStyle w:val="longtext"/>
          <w:sz w:val="24"/>
          <w:szCs w:val="24"/>
          <w:lang w:bidi="ar-JO"/>
        </w:rPr>
        <w:t>Palestiian</w:t>
      </w:r>
      <w:proofErr w:type="spellEnd"/>
      <w:r w:rsidRPr="00E409DA">
        <w:rPr>
          <w:rStyle w:val="longtext"/>
          <w:sz w:val="24"/>
          <w:szCs w:val="24"/>
          <w:lang w:bidi="ar-JO"/>
        </w:rPr>
        <w:t xml:space="preserve"> </w:t>
      </w:r>
      <w:proofErr w:type="spellStart"/>
      <w:r w:rsidRPr="00E409DA">
        <w:rPr>
          <w:rStyle w:val="longtext"/>
          <w:sz w:val="24"/>
          <w:szCs w:val="24"/>
          <w:lang w:bidi="ar-JO"/>
        </w:rPr>
        <w:t>Legisaltive</w:t>
      </w:r>
      <w:proofErr w:type="spellEnd"/>
      <w:r w:rsidRPr="00E409DA">
        <w:rPr>
          <w:rStyle w:val="longtext"/>
          <w:sz w:val="24"/>
          <w:szCs w:val="24"/>
          <w:lang w:bidi="ar-JO"/>
        </w:rPr>
        <w:t xml:space="preserve"> Council to monitor their achievements and implementation of sector plans and programs and diagnose their weaknesses. The Ministry of Finance provides detailed </w:t>
      </w:r>
      <w:proofErr w:type="spellStart"/>
      <w:r w:rsidRPr="00E409DA">
        <w:rPr>
          <w:rStyle w:val="longtext"/>
          <w:sz w:val="24"/>
          <w:szCs w:val="24"/>
          <w:lang w:bidi="ar-JO"/>
        </w:rPr>
        <w:t>invormation</w:t>
      </w:r>
      <w:proofErr w:type="spellEnd"/>
      <w:r w:rsidRPr="00E409DA">
        <w:rPr>
          <w:rStyle w:val="longtext"/>
          <w:sz w:val="24"/>
          <w:szCs w:val="24"/>
          <w:lang w:bidi="ar-JO"/>
        </w:rPr>
        <w:t xml:space="preserve"> on the budget allocated per sector. International civil society organizations, UN </w:t>
      </w:r>
      <w:proofErr w:type="spellStart"/>
      <w:r w:rsidRPr="00E409DA">
        <w:rPr>
          <w:rStyle w:val="longtext"/>
          <w:sz w:val="24"/>
          <w:szCs w:val="24"/>
          <w:lang w:bidi="ar-JO"/>
        </w:rPr>
        <w:t>instituions</w:t>
      </w:r>
      <w:proofErr w:type="spellEnd"/>
      <w:r w:rsidRPr="00E409DA">
        <w:rPr>
          <w:rStyle w:val="longtext"/>
          <w:sz w:val="24"/>
          <w:szCs w:val="24"/>
          <w:lang w:bidi="ar-JO"/>
        </w:rPr>
        <w:t xml:space="preserve">, Higher Education establishments and human rights think-tanks and </w:t>
      </w:r>
      <w:proofErr w:type="spellStart"/>
      <w:r w:rsidRPr="00E409DA">
        <w:rPr>
          <w:rStyle w:val="longtext"/>
          <w:sz w:val="24"/>
          <w:szCs w:val="24"/>
          <w:lang w:bidi="ar-JO"/>
        </w:rPr>
        <w:t>organzations</w:t>
      </w:r>
      <w:proofErr w:type="spellEnd"/>
      <w:r w:rsidRPr="00E409DA">
        <w:rPr>
          <w:rStyle w:val="longtext"/>
          <w:sz w:val="24"/>
          <w:szCs w:val="24"/>
          <w:lang w:bidi="ar-JO"/>
        </w:rPr>
        <w:t xml:space="preserve"> also contribute with information and data in their research and studies and by surveying children to nourish the national information system. Such information is then used to establish, analyze and </w:t>
      </w:r>
      <w:proofErr w:type="spellStart"/>
      <w:r w:rsidRPr="00E409DA">
        <w:rPr>
          <w:rStyle w:val="longtext"/>
          <w:sz w:val="24"/>
          <w:szCs w:val="24"/>
          <w:lang w:bidi="ar-JO"/>
        </w:rPr>
        <w:t>moitor</w:t>
      </w:r>
      <w:proofErr w:type="spellEnd"/>
      <w:r w:rsidRPr="00E409DA">
        <w:rPr>
          <w:rStyle w:val="longtext"/>
          <w:sz w:val="24"/>
          <w:szCs w:val="24"/>
          <w:lang w:bidi="ar-JO"/>
        </w:rPr>
        <w:t xml:space="preserve"> data.</w:t>
      </w:r>
    </w:p>
    <w:p w:rsidR="003A6586" w:rsidRPr="003122A3" w:rsidRDefault="003A6586" w:rsidP="008E657F">
      <w:pPr>
        <w:jc w:val="both"/>
        <w:rPr>
          <w:rFonts w:ascii="Times New Roman" w:hAnsi="Times New Roman" w:cs="Times New Roman"/>
          <w:sz w:val="24"/>
          <w:szCs w:val="24"/>
        </w:rPr>
      </w:pPr>
    </w:p>
    <w:p w:rsidR="00D27521" w:rsidRPr="003122A3" w:rsidRDefault="00D27521" w:rsidP="008E657F">
      <w:pPr>
        <w:jc w:val="both"/>
        <w:rPr>
          <w:rFonts w:ascii="Times New Roman" w:hAnsi="Times New Roman" w:cs="Times New Roman"/>
        </w:rPr>
      </w:pPr>
    </w:p>
    <w:p w:rsidR="00D27521" w:rsidRPr="003122A3" w:rsidRDefault="00D27521" w:rsidP="008E657F">
      <w:pPr>
        <w:jc w:val="both"/>
        <w:rPr>
          <w:rFonts w:ascii="Times New Roman" w:hAnsi="Times New Roman" w:cs="Times New Roman"/>
        </w:rPr>
      </w:pPr>
    </w:p>
    <w:p w:rsidR="003225E3" w:rsidRPr="003122A3" w:rsidRDefault="003225E3" w:rsidP="008E657F">
      <w:pPr>
        <w:jc w:val="both"/>
        <w:rPr>
          <w:rFonts w:ascii="Times New Roman" w:hAnsi="Times New Roman" w:cs="Times New Roman"/>
          <w:rtl/>
        </w:rPr>
      </w:pPr>
      <w:r w:rsidRPr="003122A3">
        <w:rPr>
          <w:rFonts w:ascii="Times New Roman" w:hAnsi="Times New Roman" w:cs="Times New Roman"/>
          <w:rtl/>
        </w:rPr>
        <w:br w:type="page"/>
      </w:r>
    </w:p>
    <w:p w:rsidR="00C83201" w:rsidRPr="00114218" w:rsidRDefault="003225E3" w:rsidP="008E657F">
      <w:pPr>
        <w:pStyle w:val="Heading1"/>
        <w:jc w:val="center"/>
        <w:rPr>
          <w:rFonts w:ascii="Times New Roman" w:hAnsi="Times New Roman" w:cs="Times New Roman"/>
          <w:b w:val="0"/>
          <w:bCs w:val="0"/>
          <w:color w:val="auto"/>
          <w:sz w:val="24"/>
          <w:szCs w:val="24"/>
          <w:rtl/>
        </w:rPr>
      </w:pPr>
      <w:bookmarkStart w:id="7" w:name="_Toc420244963"/>
      <w:r w:rsidRPr="00114218">
        <w:rPr>
          <w:rFonts w:ascii="Times New Roman" w:hAnsi="Times New Roman" w:cs="Times New Roman"/>
          <w:b w:val="0"/>
          <w:bCs w:val="0"/>
          <w:color w:val="auto"/>
          <w:sz w:val="24"/>
          <w:szCs w:val="24"/>
        </w:rPr>
        <w:t>Chapter Two</w:t>
      </w:r>
      <w:bookmarkEnd w:id="7"/>
    </w:p>
    <w:p w:rsidR="00D1104C" w:rsidRPr="003122A3" w:rsidRDefault="003225E3" w:rsidP="008E657F">
      <w:pPr>
        <w:pStyle w:val="Heading1"/>
        <w:jc w:val="center"/>
        <w:rPr>
          <w:rFonts w:ascii="Times New Roman" w:hAnsi="Times New Roman" w:cs="Times New Roman"/>
          <w:color w:val="auto"/>
        </w:rPr>
      </w:pPr>
      <w:bookmarkStart w:id="8" w:name="_Toc420244964"/>
      <w:r w:rsidRPr="003122A3">
        <w:rPr>
          <w:rFonts w:ascii="Times New Roman" w:hAnsi="Times New Roman" w:cs="Times New Roman"/>
          <w:color w:val="auto"/>
        </w:rPr>
        <w:t>General Procedures for the Application of the Rights of the Child</w:t>
      </w:r>
      <w:bookmarkEnd w:id="8"/>
    </w:p>
    <w:p w:rsidR="00C83201" w:rsidRPr="003122A3" w:rsidRDefault="00C83201" w:rsidP="008E657F">
      <w:pPr>
        <w:jc w:val="both"/>
        <w:rPr>
          <w:rFonts w:ascii="Times New Roman" w:hAnsi="Times New Roman" w:cs="Times New Roman"/>
          <w:b/>
          <w:bCs/>
          <w:sz w:val="24"/>
          <w:szCs w:val="24"/>
        </w:rPr>
      </w:pPr>
    </w:p>
    <w:p w:rsidR="00D1104C" w:rsidRPr="003122A3" w:rsidRDefault="00F8478C" w:rsidP="00195523">
      <w:pPr>
        <w:pStyle w:val="Heading2"/>
        <w:ind w:firstLineChars="0" w:firstLine="0"/>
        <w:jc w:val="left"/>
        <w:rPr>
          <w:rFonts w:ascii="Times New Roman" w:hAnsi="Times New Roman" w:cs="Times New Roman"/>
          <w:sz w:val="24"/>
          <w:szCs w:val="24"/>
        </w:rPr>
      </w:pPr>
      <w:bookmarkStart w:id="9" w:name="_Toc420244965"/>
      <w:r w:rsidRPr="003122A3">
        <w:rPr>
          <w:rFonts w:ascii="Times New Roman" w:hAnsi="Times New Roman" w:cs="Times New Roman"/>
          <w:sz w:val="24"/>
          <w:szCs w:val="24"/>
        </w:rPr>
        <w:t>2.1 National Plans, Strategies and Evaluation</w:t>
      </w:r>
      <w:bookmarkEnd w:id="9"/>
    </w:p>
    <w:p w:rsidR="008E657F" w:rsidRPr="003122A3" w:rsidRDefault="008E657F" w:rsidP="00EB12CE">
      <w:pPr>
        <w:pStyle w:val="Heading2"/>
        <w:ind w:firstLineChars="0" w:firstLine="0"/>
        <w:jc w:val="left"/>
        <w:rPr>
          <w:rFonts w:ascii="Times New Roman" w:hAnsi="Times New Roman" w:cs="Times New Roman"/>
          <w:sz w:val="24"/>
          <w:szCs w:val="24"/>
        </w:rPr>
      </w:pPr>
    </w:p>
    <w:p w:rsidR="00D1104C" w:rsidRPr="003122A3" w:rsidRDefault="00F8478C"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Ministry of Planning and Administrative Development (MOPAD) is responsible for national planning and the preparation of cross-</w:t>
      </w:r>
      <w:proofErr w:type="spellStart"/>
      <w:r w:rsidRPr="003122A3">
        <w:rPr>
          <w:rFonts w:ascii="Times New Roman" w:hAnsi="Times New Roman" w:cs="Times New Roman"/>
          <w:sz w:val="24"/>
          <w:szCs w:val="24"/>
        </w:rPr>
        <w:t>sectoral</w:t>
      </w:r>
      <w:proofErr w:type="spellEnd"/>
      <w:r w:rsidRPr="003122A3">
        <w:rPr>
          <w:rFonts w:ascii="Times New Roman" w:hAnsi="Times New Roman" w:cs="Times New Roman"/>
          <w:sz w:val="24"/>
          <w:szCs w:val="24"/>
        </w:rPr>
        <w:t xml:space="preserve"> plans. In 2010, MOPAD prepared 23 </w:t>
      </w:r>
      <w:proofErr w:type="spellStart"/>
      <w:r w:rsidRPr="003122A3">
        <w:rPr>
          <w:rFonts w:ascii="Times New Roman" w:hAnsi="Times New Roman" w:cs="Times New Roman"/>
          <w:sz w:val="24"/>
          <w:szCs w:val="24"/>
        </w:rPr>
        <w:t>sectoral</w:t>
      </w:r>
      <w:proofErr w:type="spellEnd"/>
      <w:r w:rsidRPr="003122A3">
        <w:rPr>
          <w:rFonts w:ascii="Times New Roman" w:hAnsi="Times New Roman" w:cs="Times New Roman"/>
          <w:sz w:val="24"/>
          <w:szCs w:val="24"/>
        </w:rPr>
        <w:t xml:space="preserve"> and cross-</w:t>
      </w:r>
      <w:proofErr w:type="spellStart"/>
      <w:r w:rsidRPr="003122A3">
        <w:rPr>
          <w:rFonts w:ascii="Times New Roman" w:hAnsi="Times New Roman" w:cs="Times New Roman"/>
          <w:sz w:val="24"/>
          <w:szCs w:val="24"/>
        </w:rPr>
        <w:t>sectoral</w:t>
      </w:r>
      <w:proofErr w:type="spellEnd"/>
      <w:r w:rsidRPr="003122A3">
        <w:rPr>
          <w:rFonts w:ascii="Times New Roman" w:hAnsi="Times New Roman" w:cs="Times New Roman"/>
          <w:sz w:val="24"/>
          <w:szCs w:val="24"/>
        </w:rPr>
        <w:t xml:space="preserve"> strategies for 2011-2013 in coordination and partnership with all relevant government institutions. National strategies were developed to combat violence against women and for social protection and juvenile justice. A plan was also drafted on the implementation of the </w:t>
      </w:r>
      <w:proofErr w:type="spellStart"/>
      <w:r w:rsidRPr="003122A3">
        <w:rPr>
          <w:rFonts w:ascii="Times New Roman" w:hAnsi="Times New Roman" w:cs="Times New Roman"/>
          <w:sz w:val="24"/>
          <w:szCs w:val="24"/>
        </w:rPr>
        <w:t>Millenium</w:t>
      </w:r>
      <w:proofErr w:type="spellEnd"/>
      <w:r w:rsidRPr="003122A3">
        <w:rPr>
          <w:rFonts w:ascii="Times New Roman" w:hAnsi="Times New Roman" w:cs="Times New Roman"/>
          <w:sz w:val="24"/>
          <w:szCs w:val="24"/>
        </w:rPr>
        <w:t xml:space="preserve"> Decade Goals. Children are not considered an independent sector and in many sectors, such as the rule of law, security and local government, are not even given specific mention. As a result, a focus on children as a group with special needs and priorities and as one of the most vulnerable groups in the volatile economic and social environment within Palestine is lacking. While the national and </w:t>
      </w:r>
      <w:proofErr w:type="spellStart"/>
      <w:r w:rsidRPr="003122A3">
        <w:rPr>
          <w:rFonts w:ascii="Times New Roman" w:hAnsi="Times New Roman" w:cs="Times New Roman"/>
          <w:sz w:val="24"/>
          <w:szCs w:val="24"/>
        </w:rPr>
        <w:t>sectoral</w:t>
      </w:r>
      <w:proofErr w:type="spellEnd"/>
      <w:r w:rsidRPr="003122A3">
        <w:rPr>
          <w:rFonts w:ascii="Times New Roman" w:hAnsi="Times New Roman" w:cs="Times New Roman"/>
          <w:sz w:val="24"/>
          <w:szCs w:val="24"/>
        </w:rPr>
        <w:t xml:space="preserve"> plans for 2014-2016. contain a planning framework and national strategy, these are not built on the premise of human rights. Many of the plans respond to urgent needs and priorities rather than focusing on long term development with a rights based agenda. This is frequently rationalized by the fact that the PA lacks financial resources and sovereignty and has inadequate control over its own territory (such as Area C and East Jerusalem, as well as border crossings and natural resources) and relies heavily on external support to fund salaries and development, with the result that it has limited control over its internal development agenda.   For further information on all of the national policies and plans in different sectors, refer to the PNA report on the implementation of UN Child Right Agreement (2010)</w:t>
      </w:r>
      <w:proofErr w:type="spellStart"/>
      <w:r w:rsidR="00245C5F" w:rsidRPr="003122A3">
        <w:rPr>
          <w:rFonts w:ascii="Times New Roman" w:hAnsi="Times New Roman" w:cs="Times New Roman"/>
          <w:sz w:val="24"/>
          <w:szCs w:val="24"/>
          <w:rtl/>
        </w:rPr>
        <w:t>.</w:t>
      </w:r>
      <w:proofErr w:type="spellEnd"/>
      <w:r w:rsidR="00245C5F" w:rsidRPr="003122A3">
        <w:rPr>
          <w:rStyle w:val="FootnoteReference"/>
          <w:rFonts w:ascii="Times New Roman" w:hAnsi="Times New Roman" w:cs="Times New Roman"/>
          <w:sz w:val="24"/>
          <w:szCs w:val="24"/>
          <w:rtl/>
        </w:rPr>
        <w:footnoteReference w:id="2"/>
      </w:r>
      <w:r w:rsidR="00BB3F45" w:rsidRPr="003122A3">
        <w:rPr>
          <w:rFonts w:ascii="Times New Roman" w:hAnsi="Times New Roman" w:cs="Times New Roman"/>
          <w:sz w:val="24"/>
          <w:szCs w:val="24"/>
          <w:rtl/>
        </w:rPr>
        <w:t xml:space="preserve"> </w:t>
      </w:r>
    </w:p>
    <w:p w:rsidR="00EB12CE" w:rsidRDefault="00EB12CE" w:rsidP="00195523">
      <w:pPr>
        <w:pStyle w:val="Heading2"/>
        <w:ind w:firstLineChars="0" w:firstLine="0"/>
        <w:jc w:val="left"/>
        <w:rPr>
          <w:rFonts w:ascii="Times New Roman" w:hAnsi="Times New Roman" w:cs="Times New Roman"/>
          <w:sz w:val="24"/>
          <w:szCs w:val="24"/>
        </w:rPr>
      </w:pPr>
      <w:bookmarkStart w:id="10" w:name="_Toc420244966"/>
    </w:p>
    <w:p w:rsidR="00D1104C" w:rsidRPr="003122A3" w:rsidRDefault="00F8478C" w:rsidP="00195523">
      <w:pPr>
        <w:pStyle w:val="Heading2"/>
        <w:ind w:firstLineChars="0" w:firstLine="0"/>
        <w:jc w:val="left"/>
        <w:rPr>
          <w:rFonts w:ascii="Times New Roman" w:hAnsi="Times New Roman" w:cs="Times New Roman"/>
          <w:sz w:val="24"/>
          <w:szCs w:val="24"/>
        </w:rPr>
      </w:pPr>
      <w:r w:rsidRPr="003122A3">
        <w:rPr>
          <w:rFonts w:ascii="Times New Roman" w:hAnsi="Times New Roman" w:cs="Times New Roman"/>
          <w:sz w:val="24"/>
          <w:szCs w:val="24"/>
        </w:rPr>
        <w:t>2.2 Legal Environment</w:t>
      </w:r>
      <w:bookmarkEnd w:id="10"/>
    </w:p>
    <w:p w:rsidR="008E657F" w:rsidRPr="003122A3" w:rsidRDefault="008E657F" w:rsidP="00EB12CE">
      <w:pPr>
        <w:pStyle w:val="Heading2"/>
        <w:ind w:firstLineChars="0" w:firstLine="0"/>
        <w:jc w:val="left"/>
        <w:rPr>
          <w:rFonts w:ascii="Times New Roman" w:hAnsi="Times New Roman" w:cs="Times New Roman"/>
          <w:sz w:val="24"/>
          <w:szCs w:val="24"/>
        </w:rPr>
      </w:pPr>
    </w:p>
    <w:p w:rsidR="00F8478C" w:rsidRPr="003122A3" w:rsidRDefault="00F8478C"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Effective laws in Palestine are old and some are not consistent with international covenants or other Palestinian laws. Save the Children funded recently a national legislative review to assess the status of children’s rights from international standards’ perspective. Other efforts focus on a revision of Handicapped Persons Law from international charter’s point of view; numerous institutions are involved in this review including WHO, UNICEF, UNDF, UNESCO in addition to Palestinian line ministries. Notwithstanding the key role of the Ministry of Health in the area of disabilities, the Public Health Law does not address this issue. Laws also lack any modern view of disability that accounts for the social aspects rather than mainly focusing on the medical definition of disability. Such legal definition affects the formation of medical commissions charged with the diagnosis of disabilities since according to modern understanding, such commissions need to comprise social workers and special education experts.</w:t>
      </w:r>
    </w:p>
    <w:p w:rsidR="00F8478C" w:rsidRPr="003122A3" w:rsidRDefault="00F8478C"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Other laws in force in Palestine require review including the Personal Status Law of 1976, especially as relates to maiden age. The penal code among other laws also needs revision.</w:t>
      </w:r>
    </w:p>
    <w:p w:rsidR="00F8478C" w:rsidRDefault="00F8478C" w:rsidP="000210A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In 2012, President Mahmoud </w:t>
      </w:r>
      <w:proofErr w:type="spellStart"/>
      <w:r w:rsidRPr="003122A3">
        <w:rPr>
          <w:rFonts w:ascii="Times New Roman" w:hAnsi="Times New Roman" w:cs="Times New Roman"/>
          <w:sz w:val="24"/>
          <w:szCs w:val="24"/>
        </w:rPr>
        <w:t>Abbas</w:t>
      </w:r>
      <w:proofErr w:type="spellEnd"/>
      <w:r w:rsidRPr="003122A3">
        <w:rPr>
          <w:rFonts w:ascii="Times New Roman" w:hAnsi="Times New Roman" w:cs="Times New Roman"/>
          <w:sz w:val="24"/>
          <w:szCs w:val="24"/>
        </w:rPr>
        <w:t xml:space="preserve"> ratified the amended Palestinian Child Law No 7 of 2004;</w:t>
      </w:r>
      <w:r w:rsidR="00587572">
        <w:rPr>
          <w:rFonts w:ascii="Times New Roman" w:hAnsi="Times New Roman" w:cs="Times New Roman"/>
          <w:sz w:val="24"/>
          <w:szCs w:val="24"/>
        </w:rPr>
        <w:t xml:space="preserve">       </w:t>
      </w:r>
      <w:r w:rsidRPr="003122A3">
        <w:rPr>
          <w:rFonts w:ascii="Times New Roman" w:hAnsi="Times New Roman" w:cs="Times New Roman"/>
          <w:sz w:val="24"/>
          <w:szCs w:val="24"/>
        </w:rPr>
        <w:t xml:space="preserve"> a juvenile protection draft law is being prepared with a draft family protection law. The Juvenile Protection Law and the Social Affairs Law have been approved by the Ministerial Council and await presidential endorsement.  The Ministerial Council also ratified the regulation on custodian families </w:t>
      </w:r>
      <w:r w:rsidR="00610385">
        <w:rPr>
          <w:rFonts w:ascii="Times New Roman" w:hAnsi="Times New Roman" w:cs="Times New Roman"/>
          <w:sz w:val="24"/>
          <w:szCs w:val="24"/>
        </w:rPr>
        <w:t>N</w:t>
      </w:r>
      <w:r w:rsidRPr="003122A3">
        <w:rPr>
          <w:rFonts w:ascii="Times New Roman" w:hAnsi="Times New Roman" w:cs="Times New Roman"/>
          <w:sz w:val="24"/>
          <w:szCs w:val="24"/>
        </w:rPr>
        <w:t>o</w:t>
      </w:r>
      <w:r w:rsidR="000210A2">
        <w:rPr>
          <w:rFonts w:ascii="Times New Roman" w:hAnsi="Times New Roman" w:cs="Times New Roman"/>
          <w:sz w:val="24"/>
          <w:szCs w:val="24"/>
        </w:rPr>
        <w:t>.</w:t>
      </w:r>
      <w:r w:rsidRPr="003122A3">
        <w:rPr>
          <w:rFonts w:ascii="Times New Roman" w:hAnsi="Times New Roman" w:cs="Times New Roman"/>
          <w:sz w:val="24"/>
          <w:szCs w:val="24"/>
        </w:rPr>
        <w:t xml:space="preserve"> </w:t>
      </w:r>
      <w:r w:rsidR="00610385">
        <w:rPr>
          <w:rFonts w:ascii="Times New Roman" w:hAnsi="Times New Roman" w:cs="Times New Roman"/>
          <w:sz w:val="24"/>
          <w:szCs w:val="24"/>
        </w:rPr>
        <w:t>10</w:t>
      </w:r>
      <w:r w:rsidRPr="003122A3">
        <w:rPr>
          <w:rFonts w:ascii="Times New Roman" w:hAnsi="Times New Roman" w:cs="Times New Roman"/>
          <w:sz w:val="24"/>
          <w:szCs w:val="24"/>
        </w:rPr>
        <w:t xml:space="preserve"> for the year 2013, and on foster families No</w:t>
      </w:r>
      <w:r w:rsidR="000210A2">
        <w:rPr>
          <w:rFonts w:ascii="Times New Roman" w:hAnsi="Times New Roman" w:cs="Times New Roman"/>
          <w:sz w:val="24"/>
          <w:szCs w:val="24"/>
        </w:rPr>
        <w:t>.</w:t>
      </w:r>
      <w:r w:rsidRPr="003122A3">
        <w:rPr>
          <w:rFonts w:ascii="Times New Roman" w:hAnsi="Times New Roman" w:cs="Times New Roman"/>
          <w:sz w:val="24"/>
          <w:szCs w:val="24"/>
        </w:rPr>
        <w:t xml:space="preserve"> 4/2014. Executive regulations are being drafted for the amended Palestinian Child Law. The President also issued a decree to eliminate violence against women. Generally speaking, Palestine has a legal framework, but it still needs amendment and harmonization of different laws with human rights. Enforcement needs to be secured via distribution of roles and responsibilities, accountability and transparency in the executive regulations. The Independent Commission for Human Rights is currently reviewing existing laws to ensure their consistency with child’s rights. For further information, see PNA report on the enforcement of Child’s Rights Convention in the Occupied Palestinian Territory, 2010.</w:t>
      </w:r>
    </w:p>
    <w:p w:rsidR="00357D6E" w:rsidRPr="003122A3" w:rsidRDefault="00357D6E" w:rsidP="00357D6E">
      <w:pPr>
        <w:spacing w:after="0" w:line="240" w:lineRule="auto"/>
        <w:jc w:val="both"/>
        <w:rPr>
          <w:rFonts w:ascii="Times New Roman" w:hAnsi="Times New Roman" w:cs="Times New Roman"/>
          <w:sz w:val="24"/>
          <w:szCs w:val="24"/>
        </w:rPr>
      </w:pPr>
    </w:p>
    <w:p w:rsidR="005B243E" w:rsidRPr="003122A3" w:rsidRDefault="001D7B4D" w:rsidP="00195523">
      <w:pPr>
        <w:pStyle w:val="Heading2"/>
        <w:ind w:firstLineChars="0" w:firstLine="0"/>
        <w:jc w:val="left"/>
        <w:rPr>
          <w:rFonts w:ascii="Times New Roman" w:hAnsi="Times New Roman" w:cs="Times New Roman"/>
          <w:sz w:val="24"/>
          <w:szCs w:val="24"/>
          <w:rtl/>
        </w:rPr>
      </w:pPr>
      <w:bookmarkStart w:id="11" w:name="_Toc420244967"/>
      <w:r w:rsidRPr="003122A3">
        <w:rPr>
          <w:rFonts w:ascii="Times New Roman" w:hAnsi="Times New Roman" w:cs="Times New Roman"/>
          <w:sz w:val="24"/>
          <w:szCs w:val="24"/>
        </w:rPr>
        <w:t>2.3 Accession to International Conventions and Treaties</w:t>
      </w:r>
      <w:bookmarkEnd w:id="11"/>
    </w:p>
    <w:p w:rsidR="008E657F" w:rsidRPr="00357D6E" w:rsidRDefault="008E657F" w:rsidP="00D85C87">
      <w:pPr>
        <w:spacing w:after="0" w:line="240" w:lineRule="auto"/>
        <w:jc w:val="both"/>
        <w:rPr>
          <w:rFonts w:ascii="Times New Roman" w:hAnsi="Times New Roman" w:cs="Times New Roman"/>
          <w:sz w:val="24"/>
          <w:szCs w:val="24"/>
        </w:rPr>
      </w:pPr>
    </w:p>
    <w:p w:rsidR="001D7B4D" w:rsidRPr="0013165D" w:rsidRDefault="001D7B4D" w:rsidP="00357D6E">
      <w:pPr>
        <w:spacing w:after="0" w:line="240" w:lineRule="auto"/>
        <w:jc w:val="both"/>
        <w:rPr>
          <w:rFonts w:ascii="Times New Roman" w:hAnsi="Times New Roman" w:cs="Times New Roman"/>
          <w:sz w:val="24"/>
          <w:szCs w:val="24"/>
        </w:rPr>
      </w:pPr>
      <w:r w:rsidRPr="0013165D">
        <w:rPr>
          <w:rFonts w:ascii="Times New Roman" w:hAnsi="Times New Roman" w:cs="Times New Roman"/>
          <w:sz w:val="24"/>
          <w:szCs w:val="24"/>
        </w:rPr>
        <w:t xml:space="preserve">President </w:t>
      </w:r>
      <w:proofErr w:type="spellStart"/>
      <w:r w:rsidRPr="0013165D">
        <w:rPr>
          <w:rFonts w:ascii="Times New Roman" w:hAnsi="Times New Roman" w:cs="Times New Roman"/>
          <w:sz w:val="24"/>
          <w:szCs w:val="24"/>
        </w:rPr>
        <w:t>Abbas’s</w:t>
      </w:r>
      <w:proofErr w:type="spellEnd"/>
      <w:r w:rsidRPr="0013165D">
        <w:rPr>
          <w:rFonts w:ascii="Times New Roman" w:hAnsi="Times New Roman" w:cs="Times New Roman"/>
          <w:sz w:val="24"/>
          <w:szCs w:val="24"/>
        </w:rPr>
        <w:t xml:space="preserve"> decision to adhere to a number of international organizations, conventions and treaties was highly </w:t>
      </w:r>
      <w:proofErr w:type="spellStart"/>
      <w:r w:rsidRPr="0013165D">
        <w:rPr>
          <w:rFonts w:ascii="Times New Roman" w:hAnsi="Times New Roman" w:cs="Times New Roman"/>
          <w:sz w:val="24"/>
          <w:szCs w:val="24"/>
        </w:rPr>
        <w:t>welecomed</w:t>
      </w:r>
      <w:proofErr w:type="spellEnd"/>
      <w:r w:rsidRPr="0013165D">
        <w:rPr>
          <w:rFonts w:ascii="Times New Roman" w:hAnsi="Times New Roman" w:cs="Times New Roman"/>
          <w:sz w:val="24"/>
          <w:szCs w:val="24"/>
        </w:rPr>
        <w:t xml:space="preserve"> at Palestinian and Arab levels.</w:t>
      </w:r>
    </w:p>
    <w:p w:rsidR="001D7B4D" w:rsidRPr="0013165D" w:rsidRDefault="006479E3" w:rsidP="00587572">
      <w:pPr>
        <w:spacing w:after="0" w:line="240" w:lineRule="auto"/>
        <w:jc w:val="both"/>
        <w:rPr>
          <w:rFonts w:ascii="Times New Roman" w:hAnsi="Times New Roman" w:cs="Times New Roman"/>
          <w:sz w:val="24"/>
          <w:szCs w:val="24"/>
          <w:rtl/>
        </w:rPr>
      </w:pPr>
      <w:r w:rsidRPr="0013165D">
        <w:rPr>
          <w:rFonts w:ascii="Times New Roman" w:hAnsi="Times New Roman" w:cs="Times New Roman"/>
          <w:sz w:val="24"/>
          <w:szCs w:val="24"/>
        </w:rPr>
        <w:t>The President’s signature to such conventions and treaties does not mean that Palestine will “automatically adhere thereto since it still needs to fulfill the special conditions for proper accession. It is thus the responsibility of the custodian agency to examine the Palestinian accession application. The UN General Assembly granted Palestinian an observer status, removing subsequently the main barrier to international conventions</w:t>
      </w:r>
      <w:r w:rsidR="000210A2">
        <w:rPr>
          <w:rFonts w:ascii="Times New Roman" w:hAnsi="Times New Roman" w:cs="Times New Roman"/>
          <w:sz w:val="24"/>
          <w:szCs w:val="24"/>
        </w:rPr>
        <w:t>’</w:t>
      </w:r>
      <w:r w:rsidRPr="0013165D">
        <w:rPr>
          <w:rFonts w:ascii="Times New Roman" w:hAnsi="Times New Roman" w:cs="Times New Roman"/>
          <w:sz w:val="24"/>
          <w:szCs w:val="24"/>
        </w:rPr>
        <w:t xml:space="preserve"> accession.”</w:t>
      </w:r>
    </w:p>
    <w:p w:rsidR="007C58D8" w:rsidRPr="003122A3" w:rsidRDefault="006479E3" w:rsidP="00357D6E">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 xml:space="preserve">Accession by the State of Palestine to international conventions and treaties is a genuine right of the </w:t>
      </w:r>
      <w:proofErr w:type="spellStart"/>
      <w:r w:rsidRPr="003122A3">
        <w:rPr>
          <w:rFonts w:ascii="Times New Roman" w:hAnsi="Times New Roman" w:cs="Times New Roman"/>
          <w:sz w:val="24"/>
          <w:szCs w:val="24"/>
        </w:rPr>
        <w:t>Paelstinian</w:t>
      </w:r>
      <w:proofErr w:type="spellEnd"/>
      <w:r w:rsidRPr="003122A3">
        <w:rPr>
          <w:rFonts w:ascii="Times New Roman" w:hAnsi="Times New Roman" w:cs="Times New Roman"/>
          <w:sz w:val="24"/>
          <w:szCs w:val="24"/>
        </w:rPr>
        <w:t xml:space="preserve"> people, which expresses the will of the international community and is consistent with international legitimacy decisions. The Convention on Child’s Rights figures among the conventions and treaties ratified by President Mahmoud </w:t>
      </w:r>
      <w:proofErr w:type="spellStart"/>
      <w:r w:rsidRPr="003122A3">
        <w:rPr>
          <w:rFonts w:ascii="Times New Roman" w:hAnsi="Times New Roman" w:cs="Times New Roman"/>
          <w:sz w:val="24"/>
          <w:szCs w:val="24"/>
        </w:rPr>
        <w:t>Abbas</w:t>
      </w:r>
      <w:proofErr w:type="spellEnd"/>
      <w:r w:rsidRPr="003122A3">
        <w:rPr>
          <w:rFonts w:ascii="Times New Roman" w:hAnsi="Times New Roman" w:cs="Times New Roman"/>
          <w:sz w:val="24"/>
          <w:szCs w:val="24"/>
        </w:rPr>
        <w:t>.</w:t>
      </w:r>
    </w:p>
    <w:p w:rsidR="00195523" w:rsidRPr="003122A3" w:rsidRDefault="00195523" w:rsidP="008E657F">
      <w:pPr>
        <w:jc w:val="both"/>
        <w:rPr>
          <w:rFonts w:ascii="Times New Roman" w:hAnsi="Times New Roman" w:cs="Times New Roman"/>
          <w:b/>
          <w:bCs/>
          <w:sz w:val="28"/>
          <w:szCs w:val="28"/>
        </w:rPr>
      </w:pPr>
    </w:p>
    <w:p w:rsidR="00195523" w:rsidRPr="003122A3" w:rsidRDefault="00195523" w:rsidP="008E657F">
      <w:pPr>
        <w:jc w:val="both"/>
        <w:rPr>
          <w:rFonts w:ascii="Times New Roman" w:hAnsi="Times New Roman" w:cs="Times New Roman"/>
          <w:b/>
          <w:bCs/>
          <w:sz w:val="28"/>
          <w:szCs w:val="28"/>
        </w:rPr>
      </w:pPr>
    </w:p>
    <w:p w:rsidR="00195523" w:rsidRPr="003122A3" w:rsidRDefault="00195523" w:rsidP="008E657F">
      <w:pPr>
        <w:jc w:val="both"/>
        <w:rPr>
          <w:rFonts w:ascii="Times New Roman" w:hAnsi="Times New Roman" w:cs="Times New Roman"/>
          <w:b/>
          <w:bCs/>
          <w:sz w:val="28"/>
          <w:szCs w:val="28"/>
        </w:rPr>
      </w:pPr>
    </w:p>
    <w:p w:rsidR="00195523" w:rsidRDefault="00195523" w:rsidP="008E657F">
      <w:pPr>
        <w:jc w:val="both"/>
        <w:rPr>
          <w:rFonts w:ascii="Times New Roman" w:hAnsi="Times New Roman" w:cs="Times New Roman"/>
          <w:b/>
          <w:bCs/>
          <w:sz w:val="28"/>
          <w:szCs w:val="28"/>
        </w:rPr>
      </w:pPr>
    </w:p>
    <w:p w:rsidR="00357D6E" w:rsidRDefault="00357D6E" w:rsidP="008E657F">
      <w:pPr>
        <w:jc w:val="both"/>
        <w:rPr>
          <w:rFonts w:ascii="Times New Roman" w:hAnsi="Times New Roman" w:cs="Times New Roman"/>
          <w:b/>
          <w:bCs/>
          <w:sz w:val="28"/>
          <w:szCs w:val="28"/>
        </w:rPr>
      </w:pPr>
    </w:p>
    <w:p w:rsidR="00357D6E" w:rsidRDefault="00357D6E" w:rsidP="008E657F">
      <w:pPr>
        <w:jc w:val="both"/>
        <w:rPr>
          <w:rFonts w:ascii="Times New Roman" w:hAnsi="Times New Roman" w:cs="Times New Roman"/>
          <w:b/>
          <w:bCs/>
          <w:sz w:val="28"/>
          <w:szCs w:val="28"/>
        </w:rPr>
      </w:pPr>
    </w:p>
    <w:p w:rsidR="00357D6E" w:rsidRDefault="00357D6E" w:rsidP="008E657F">
      <w:pPr>
        <w:jc w:val="both"/>
        <w:rPr>
          <w:rFonts w:ascii="Times New Roman" w:hAnsi="Times New Roman" w:cs="Times New Roman"/>
          <w:b/>
          <w:bCs/>
          <w:sz w:val="28"/>
          <w:szCs w:val="28"/>
        </w:rPr>
      </w:pPr>
    </w:p>
    <w:p w:rsidR="00357D6E" w:rsidRDefault="00357D6E" w:rsidP="008E657F">
      <w:pPr>
        <w:jc w:val="both"/>
        <w:rPr>
          <w:rFonts w:ascii="Times New Roman" w:hAnsi="Times New Roman" w:cs="Times New Roman"/>
          <w:b/>
          <w:bCs/>
          <w:sz w:val="28"/>
          <w:szCs w:val="28"/>
        </w:rPr>
      </w:pPr>
    </w:p>
    <w:p w:rsidR="00357D6E" w:rsidRDefault="00357D6E" w:rsidP="008E657F">
      <w:pPr>
        <w:jc w:val="both"/>
        <w:rPr>
          <w:rFonts w:ascii="Times New Roman" w:hAnsi="Times New Roman" w:cs="Times New Roman"/>
          <w:b/>
          <w:bCs/>
          <w:sz w:val="28"/>
          <w:szCs w:val="28"/>
        </w:rPr>
      </w:pPr>
    </w:p>
    <w:p w:rsidR="00357D6E" w:rsidRDefault="00357D6E" w:rsidP="008E657F">
      <w:pPr>
        <w:jc w:val="both"/>
        <w:rPr>
          <w:rFonts w:ascii="Times New Roman" w:hAnsi="Times New Roman" w:cs="Times New Roman"/>
          <w:b/>
          <w:bCs/>
          <w:sz w:val="28"/>
          <w:szCs w:val="28"/>
        </w:rPr>
      </w:pPr>
    </w:p>
    <w:p w:rsidR="00357D6E" w:rsidRPr="003122A3" w:rsidRDefault="00357D6E" w:rsidP="008E657F">
      <w:pPr>
        <w:jc w:val="both"/>
        <w:rPr>
          <w:rFonts w:ascii="Times New Roman" w:hAnsi="Times New Roman" w:cs="Times New Roman"/>
          <w:b/>
          <w:bCs/>
          <w:sz w:val="28"/>
          <w:szCs w:val="28"/>
        </w:rPr>
      </w:pPr>
    </w:p>
    <w:p w:rsidR="00195523" w:rsidRPr="003122A3" w:rsidRDefault="00195523" w:rsidP="008E657F">
      <w:pPr>
        <w:jc w:val="both"/>
        <w:rPr>
          <w:rFonts w:ascii="Times New Roman" w:hAnsi="Times New Roman" w:cs="Times New Roman"/>
          <w:b/>
          <w:bCs/>
          <w:sz w:val="28"/>
          <w:szCs w:val="28"/>
        </w:rPr>
      </w:pPr>
    </w:p>
    <w:p w:rsidR="00195523" w:rsidRPr="003122A3" w:rsidRDefault="00195523" w:rsidP="008E657F">
      <w:pPr>
        <w:jc w:val="both"/>
        <w:rPr>
          <w:rFonts w:ascii="Times New Roman" w:hAnsi="Times New Roman" w:cs="Times New Roman"/>
          <w:b/>
          <w:bCs/>
          <w:sz w:val="28"/>
          <w:szCs w:val="28"/>
        </w:rPr>
      </w:pPr>
    </w:p>
    <w:p w:rsidR="00195523" w:rsidRDefault="00195523" w:rsidP="008E657F">
      <w:pPr>
        <w:jc w:val="both"/>
        <w:rPr>
          <w:rFonts w:ascii="Times New Roman" w:hAnsi="Times New Roman" w:cs="Times New Roman"/>
          <w:b/>
          <w:bCs/>
          <w:sz w:val="28"/>
          <w:szCs w:val="28"/>
        </w:rPr>
      </w:pPr>
    </w:p>
    <w:p w:rsidR="00955964" w:rsidRPr="003122A3" w:rsidRDefault="00955964" w:rsidP="008E657F">
      <w:pPr>
        <w:jc w:val="both"/>
        <w:rPr>
          <w:rFonts w:ascii="Times New Roman" w:hAnsi="Times New Roman" w:cs="Times New Roman"/>
          <w:b/>
          <w:bCs/>
          <w:sz w:val="28"/>
          <w:szCs w:val="28"/>
        </w:rPr>
      </w:pPr>
    </w:p>
    <w:p w:rsidR="00D1104C" w:rsidRPr="003122A3" w:rsidRDefault="006479E3" w:rsidP="00D85C87">
      <w:pPr>
        <w:rPr>
          <w:rFonts w:ascii="Times New Roman" w:hAnsi="Times New Roman" w:cs="Times New Roman"/>
          <w:b/>
          <w:bCs/>
          <w:sz w:val="28"/>
          <w:szCs w:val="28"/>
          <w:rtl/>
        </w:rPr>
      </w:pPr>
      <w:r w:rsidRPr="003122A3">
        <w:rPr>
          <w:rFonts w:ascii="Times New Roman" w:hAnsi="Times New Roman" w:cs="Times New Roman"/>
          <w:b/>
          <w:bCs/>
          <w:sz w:val="28"/>
          <w:szCs w:val="28"/>
        </w:rPr>
        <w:t>Flashes</w:t>
      </w:r>
    </w:p>
    <w:p w:rsidR="006479E3" w:rsidRPr="003122A3" w:rsidRDefault="006479E3"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Children in East Jerusalem</w:t>
      </w:r>
    </w:p>
    <w:p w:rsidR="006479E3" w:rsidRDefault="006479E3" w:rsidP="00357D6E">
      <w:pPr>
        <w:spacing w:after="0" w:line="240" w:lineRule="auto"/>
        <w:jc w:val="both"/>
        <w:rPr>
          <w:rFonts w:ascii="Times New Roman" w:hAnsi="Times New Roman" w:cs="Times New Roman"/>
          <w:sz w:val="24"/>
          <w:szCs w:val="24"/>
        </w:rPr>
      </w:pPr>
      <w:proofErr w:type="spellStart"/>
      <w:r w:rsidRPr="003122A3">
        <w:rPr>
          <w:rFonts w:ascii="Times New Roman" w:hAnsi="Times New Roman" w:cs="Times New Roman"/>
          <w:sz w:val="24"/>
          <w:szCs w:val="24"/>
        </w:rPr>
        <w:t>B'Tselem</w:t>
      </w:r>
      <w:proofErr w:type="spellEnd"/>
      <w:r w:rsidRPr="003122A3">
        <w:rPr>
          <w:rFonts w:ascii="Times New Roman" w:hAnsi="Times New Roman" w:cs="Times New Roman"/>
          <w:sz w:val="24"/>
          <w:szCs w:val="24"/>
        </w:rPr>
        <w:t xml:space="preserve"> has investigated the implications of Israeli law governing citizenship and entry into Israel which prohibits citizens of Israel who marry someone from outside of Israel from residing with them within the borders of the country. As a result, children born in a Palestinian area or who have one parent from a Palestinian area but have one parent who is a citizen of Israel cannot obtain a permanent legal status in order to reside with that parent in Israel.  Israel grants the child a temporary residence permit for two years provided that the family can prove that the center of the child's life is in Israel. These restrictions and policies serve to support the maintenance of a Jewish demographic majority in Israel and Jerusalem.</w:t>
      </w:r>
      <w:r w:rsidRPr="003122A3">
        <w:rPr>
          <w:rStyle w:val="FootnoteReference"/>
          <w:rFonts w:ascii="Times New Roman" w:hAnsi="Times New Roman" w:cs="Times New Roman"/>
          <w:sz w:val="24"/>
          <w:szCs w:val="24"/>
        </w:rPr>
        <w:footnoteReference w:id="3"/>
      </w:r>
      <w:r w:rsidRPr="003122A3">
        <w:rPr>
          <w:rFonts w:ascii="Times New Roman" w:hAnsi="Times New Roman" w:cs="Times New Roman"/>
          <w:sz w:val="24"/>
          <w:szCs w:val="24"/>
        </w:rPr>
        <w:t xml:space="preserve"> The figures indicate that children were those most deprived in terms of the right to citizenship in 2008: 99 children in 4,577 cases, under the pretext of a population review and because the child had lived outside Israel for 7 years continuously.</w:t>
      </w:r>
      <w:r w:rsidRPr="003122A3">
        <w:rPr>
          <w:rStyle w:val="FootnoteReference"/>
          <w:rFonts w:ascii="Times New Roman" w:hAnsi="Times New Roman" w:cs="Times New Roman"/>
          <w:sz w:val="24"/>
          <w:szCs w:val="24"/>
        </w:rPr>
        <w:footnoteReference w:id="4"/>
      </w:r>
    </w:p>
    <w:p w:rsidR="00357D6E" w:rsidRPr="003122A3" w:rsidRDefault="00357D6E" w:rsidP="00357D6E">
      <w:pPr>
        <w:spacing w:after="0" w:line="240" w:lineRule="auto"/>
        <w:jc w:val="both"/>
        <w:rPr>
          <w:rFonts w:ascii="Times New Roman" w:hAnsi="Times New Roman" w:cs="Times New Roman"/>
          <w:b/>
          <w:bCs/>
          <w:sz w:val="24"/>
          <w:szCs w:val="24"/>
        </w:rPr>
      </w:pPr>
    </w:p>
    <w:p w:rsidR="009A461C" w:rsidRPr="003122A3" w:rsidRDefault="00BE27AD" w:rsidP="00195523">
      <w:pPr>
        <w:pStyle w:val="Caption"/>
        <w:bidi w:val="0"/>
        <w:rPr>
          <w:sz w:val="22"/>
          <w:szCs w:val="24"/>
          <w:rtl/>
        </w:rPr>
      </w:pPr>
      <w:bookmarkStart w:id="12" w:name="_Toc420268215"/>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1</w:t>
      </w:r>
      <w:r w:rsidR="008F57C8" w:rsidRPr="003122A3">
        <w:rPr>
          <w:sz w:val="22"/>
          <w:szCs w:val="24"/>
        </w:rPr>
        <w:fldChar w:fldCharType="end"/>
      </w:r>
      <w:r w:rsidRPr="003122A3">
        <w:rPr>
          <w:sz w:val="22"/>
          <w:szCs w:val="24"/>
        </w:rPr>
        <w:t>: Number of Palestinians Deprived of Citizenship, 2005-2012</w:t>
      </w:r>
      <w:bookmarkEnd w:id="12"/>
    </w:p>
    <w:p w:rsidR="003F3E33" w:rsidRPr="003122A3" w:rsidRDefault="003F3E33" w:rsidP="00195523">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486400" cy="2085975"/>
            <wp:effectExtent l="19050" t="0" r="19050" b="0"/>
            <wp:docPr id="18"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F11B1" w:rsidRPr="00363A7A" w:rsidRDefault="008C182E" w:rsidP="004F7AAB">
      <w:pPr>
        <w:jc w:val="both"/>
        <w:rPr>
          <w:rFonts w:ascii="Times New Roman" w:hAnsi="Times New Roman" w:cs="Times New Roman"/>
          <w:sz w:val="18"/>
          <w:szCs w:val="18"/>
          <w:rtl/>
        </w:rPr>
      </w:pPr>
      <w:r w:rsidRPr="00363A7A">
        <w:rPr>
          <w:rFonts w:ascii="Times New Roman" w:hAnsi="Times New Roman" w:cs="Times New Roman"/>
          <w:sz w:val="18"/>
          <w:szCs w:val="18"/>
          <w:rtl/>
        </w:rPr>
        <w:t xml:space="preserve">     </w:t>
      </w:r>
      <w:r w:rsidR="00195523" w:rsidRPr="00363A7A">
        <w:rPr>
          <w:rFonts w:ascii="Times New Roman" w:hAnsi="Times New Roman" w:cs="Times New Roman"/>
          <w:sz w:val="18"/>
          <w:szCs w:val="18"/>
        </w:rPr>
        <w:t xml:space="preserve">               </w:t>
      </w:r>
      <w:proofErr w:type="spellStart"/>
      <w:r w:rsidR="00257F59" w:rsidRPr="00363A7A">
        <w:rPr>
          <w:rFonts w:ascii="Times New Roman" w:hAnsi="Times New Roman" w:cs="Times New Roman"/>
          <w:sz w:val="18"/>
          <w:szCs w:val="18"/>
          <w:lang w:val="fr-FR"/>
        </w:rPr>
        <w:t>Sourc</w:t>
      </w:r>
      <w:proofErr w:type="spellEnd"/>
      <w:r w:rsidR="00257F59" w:rsidRPr="00363A7A">
        <w:rPr>
          <w:rFonts w:ascii="Times New Roman" w:hAnsi="Times New Roman" w:cs="Times New Roman"/>
          <w:sz w:val="18"/>
          <w:szCs w:val="18"/>
          <w:lang w:val="fr-FR"/>
        </w:rPr>
        <w:t>:</w:t>
      </w:r>
      <w:r w:rsidRPr="00363A7A">
        <w:rPr>
          <w:rFonts w:ascii="Times New Roman" w:hAnsi="Times New Roman" w:cs="Times New Roman"/>
          <w:sz w:val="18"/>
          <w:szCs w:val="18"/>
          <w:rtl/>
        </w:rPr>
        <w:t xml:space="preserve"> </w:t>
      </w:r>
      <w:hyperlink r:id="rId33" w:history="1">
        <w:r w:rsidRPr="00363A7A">
          <w:rPr>
            <w:rStyle w:val="Hyperlink"/>
            <w:rFonts w:ascii="Times New Roman" w:hAnsi="Times New Roman" w:cs="Times New Roman"/>
            <w:color w:val="auto"/>
            <w:sz w:val="18"/>
            <w:szCs w:val="18"/>
            <w:lang w:val="fr-FR"/>
          </w:rPr>
          <w:t>http://www.btselem.org/arabic/planning_and_building/east_jerusalem_statistics</w:t>
        </w:r>
      </w:hyperlink>
    </w:p>
    <w:p w:rsidR="006479E3" w:rsidRPr="003122A3" w:rsidRDefault="006479E3" w:rsidP="00357D6E">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 xml:space="preserve">Data on house demolition in East Jerusalem, published by </w:t>
      </w:r>
      <w:proofErr w:type="spellStart"/>
      <w:r w:rsidRPr="003122A3">
        <w:rPr>
          <w:rFonts w:ascii="Times New Roman" w:hAnsi="Times New Roman" w:cs="Times New Roman"/>
          <w:sz w:val="24"/>
          <w:szCs w:val="24"/>
        </w:rPr>
        <w:t>Betselem</w:t>
      </w:r>
      <w:proofErr w:type="spellEnd"/>
      <w:r w:rsidRPr="003122A3">
        <w:rPr>
          <w:rFonts w:ascii="Times New Roman" w:hAnsi="Times New Roman" w:cs="Times New Roman"/>
          <w:sz w:val="24"/>
          <w:szCs w:val="24"/>
        </w:rPr>
        <w:t>, show that the number of houses demolished by Israeli authorities in East Jerusalem in the period from 2004 – mid-201</w:t>
      </w:r>
      <w:r w:rsidR="001C1F74" w:rsidRPr="003122A3">
        <w:rPr>
          <w:rFonts w:ascii="Times New Roman" w:hAnsi="Times New Roman" w:cs="Times New Roman"/>
          <w:sz w:val="24"/>
          <w:szCs w:val="24"/>
        </w:rPr>
        <w:t>4</w:t>
      </w:r>
      <w:r w:rsidRPr="003122A3">
        <w:rPr>
          <w:rFonts w:ascii="Times New Roman" w:hAnsi="Times New Roman" w:cs="Times New Roman"/>
          <w:sz w:val="24"/>
          <w:szCs w:val="24"/>
        </w:rPr>
        <w:t xml:space="preserve"> reached 545 </w:t>
      </w:r>
      <w:r w:rsidR="00D07996" w:rsidRPr="003122A3">
        <w:rPr>
          <w:rFonts w:ascii="Times New Roman" w:hAnsi="Times New Roman" w:cs="Times New Roman"/>
          <w:sz w:val="24"/>
          <w:szCs w:val="24"/>
        </w:rPr>
        <w:t>dwellings</w:t>
      </w:r>
      <w:r w:rsidRPr="003122A3">
        <w:rPr>
          <w:rFonts w:ascii="Times New Roman" w:hAnsi="Times New Roman" w:cs="Times New Roman"/>
          <w:sz w:val="24"/>
          <w:szCs w:val="24"/>
        </w:rPr>
        <w:t xml:space="preserve">. </w:t>
      </w:r>
      <w:r w:rsidR="00BD3B1E" w:rsidRPr="003122A3">
        <w:rPr>
          <w:rFonts w:ascii="Times New Roman" w:hAnsi="Times New Roman" w:cs="Times New Roman"/>
          <w:sz w:val="24"/>
          <w:szCs w:val="24"/>
        </w:rPr>
        <w:t xml:space="preserve"> </w:t>
      </w:r>
      <w:r w:rsidRPr="003122A3">
        <w:rPr>
          <w:rFonts w:ascii="Times New Roman" w:hAnsi="Times New Roman" w:cs="Times New Roman"/>
          <w:sz w:val="24"/>
          <w:szCs w:val="24"/>
        </w:rPr>
        <w:t>Subsequently, 2</w:t>
      </w:r>
      <w:r w:rsidR="00F42996" w:rsidRPr="003122A3">
        <w:rPr>
          <w:rFonts w:ascii="Times New Roman" w:hAnsi="Times New Roman" w:cs="Times New Roman"/>
          <w:sz w:val="24"/>
          <w:szCs w:val="24"/>
        </w:rPr>
        <w:t>,</w:t>
      </w:r>
      <w:r w:rsidRPr="003122A3">
        <w:rPr>
          <w:rFonts w:ascii="Times New Roman" w:hAnsi="Times New Roman" w:cs="Times New Roman"/>
          <w:sz w:val="24"/>
          <w:szCs w:val="24"/>
        </w:rPr>
        <w:t>1</w:t>
      </w:r>
      <w:r w:rsidR="001C1F74" w:rsidRPr="003122A3">
        <w:rPr>
          <w:rFonts w:ascii="Times New Roman" w:hAnsi="Times New Roman" w:cs="Times New Roman"/>
          <w:sz w:val="24"/>
          <w:szCs w:val="24"/>
        </w:rPr>
        <w:t>1</w:t>
      </w:r>
      <w:r w:rsidRPr="003122A3">
        <w:rPr>
          <w:rFonts w:ascii="Times New Roman" w:hAnsi="Times New Roman" w:cs="Times New Roman"/>
          <w:sz w:val="24"/>
          <w:szCs w:val="24"/>
        </w:rPr>
        <w:t>5 persons, including 1</w:t>
      </w:r>
      <w:r w:rsidR="00F42996" w:rsidRPr="003122A3">
        <w:rPr>
          <w:rFonts w:ascii="Times New Roman" w:hAnsi="Times New Roman" w:cs="Times New Roman"/>
          <w:sz w:val="24"/>
          <w:szCs w:val="24"/>
        </w:rPr>
        <w:t>,</w:t>
      </w:r>
      <w:r w:rsidRPr="003122A3">
        <w:rPr>
          <w:rFonts w:ascii="Times New Roman" w:hAnsi="Times New Roman" w:cs="Times New Roman"/>
          <w:sz w:val="24"/>
          <w:szCs w:val="24"/>
        </w:rPr>
        <w:t>140</w:t>
      </w:r>
      <w:r w:rsidR="001C1F74" w:rsidRPr="003122A3">
        <w:rPr>
          <w:rFonts w:ascii="Times New Roman" w:hAnsi="Times New Roman" w:cs="Times New Roman"/>
          <w:sz w:val="24"/>
          <w:szCs w:val="24"/>
        </w:rPr>
        <w:t xml:space="preserve"> children</w:t>
      </w:r>
      <w:r w:rsidRPr="003122A3">
        <w:rPr>
          <w:rFonts w:ascii="Times New Roman" w:hAnsi="Times New Roman" w:cs="Times New Roman"/>
          <w:sz w:val="24"/>
          <w:szCs w:val="24"/>
        </w:rPr>
        <w:t xml:space="preserve"> lost their homes.</w:t>
      </w:r>
      <w:r w:rsidRPr="003122A3">
        <w:rPr>
          <w:rStyle w:val="FootnoteReference"/>
          <w:rFonts w:ascii="Times New Roman" w:hAnsi="Times New Roman" w:cs="Times New Roman"/>
          <w:sz w:val="24"/>
          <w:szCs w:val="24"/>
          <w:rtl/>
        </w:rPr>
        <w:t xml:space="preserve"> </w:t>
      </w:r>
      <w:r w:rsidRPr="003122A3">
        <w:rPr>
          <w:rStyle w:val="FootnoteReference"/>
          <w:rFonts w:ascii="Times New Roman" w:hAnsi="Times New Roman" w:cs="Times New Roman"/>
          <w:sz w:val="24"/>
          <w:szCs w:val="24"/>
          <w:rtl/>
        </w:rPr>
        <w:footnoteReference w:id="5"/>
      </w:r>
    </w:p>
    <w:p w:rsidR="006479E3" w:rsidRPr="003122A3" w:rsidRDefault="006479E3" w:rsidP="00357D6E">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 xml:space="preserve">Several agencies supervise 198 schools in East Jerusalem including the </w:t>
      </w:r>
      <w:proofErr w:type="spellStart"/>
      <w:r w:rsidRPr="003122A3">
        <w:rPr>
          <w:rFonts w:ascii="Times New Roman" w:hAnsi="Times New Roman" w:cs="Times New Roman"/>
          <w:sz w:val="24"/>
          <w:szCs w:val="24"/>
        </w:rPr>
        <w:t>Awqaf</w:t>
      </w:r>
      <w:proofErr w:type="spellEnd"/>
      <w:r w:rsidRPr="003122A3">
        <w:rPr>
          <w:rFonts w:ascii="Times New Roman" w:hAnsi="Times New Roman" w:cs="Times New Roman"/>
          <w:sz w:val="24"/>
          <w:szCs w:val="24"/>
        </w:rPr>
        <w:t xml:space="preserve">, the Private Sector, Ministry of Education, Municipality, semi-governmental semi-private schools and UNRWA. Schools serve a population of 86,590 students. 20% of teachers and students around Jerusalem </w:t>
      </w:r>
      <w:proofErr w:type="spellStart"/>
      <w:r w:rsidRPr="003122A3">
        <w:rPr>
          <w:rFonts w:ascii="Times New Roman" w:hAnsi="Times New Roman" w:cs="Times New Roman"/>
          <w:sz w:val="24"/>
          <w:szCs w:val="24"/>
        </w:rPr>
        <w:t>corss</w:t>
      </w:r>
      <w:proofErr w:type="spellEnd"/>
      <w:r w:rsidRPr="003122A3">
        <w:rPr>
          <w:rFonts w:ascii="Times New Roman" w:hAnsi="Times New Roman" w:cs="Times New Roman"/>
          <w:sz w:val="24"/>
          <w:szCs w:val="24"/>
        </w:rPr>
        <w:t xml:space="preserve"> through the Wall every day. Violence among students in East Jerusalem is escalating while their dropout rates mounted to 50% since they are absorbed as cheap labor in the Israeli labor market. Poverty rates are also on the rise while substance and alcohol abuse among young people reached 7.8%</w:t>
      </w:r>
      <w:r w:rsidR="00222177">
        <w:rPr>
          <w:rStyle w:val="FootnoteReference"/>
          <w:rFonts w:ascii="Times New Roman" w:hAnsi="Times New Roman" w:cs="Times New Roman"/>
          <w:sz w:val="24"/>
          <w:szCs w:val="24"/>
        </w:rPr>
        <w:footnoteReference w:id="6"/>
      </w:r>
    </w:p>
    <w:p w:rsidR="00765B14" w:rsidRPr="003122A3" w:rsidRDefault="00765B14"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Data from the Directorate of Education in Jerusalem indicated that 86,018 out of 88,845 children aged 6-18 years were enrolled in educational institutions in 2012. However, according to municipal data, there are 106,534 children in that age group; this may indicate that 20,516 children were not registered in records of the Directorate of Education and were not attending school.  Also, 3,806 children were not registered at the compulsory school age of 5 years. The percentage of dropout from Jerusalem schools from seventh to twelfth grade was 17.3%, but reached 40% by the twelfth grade alone. There were approximately 32 students per classroom. Around 720 classrooms were of a poor standard. During the 2012-2013</w:t>
      </w:r>
      <w:r w:rsidR="00222177">
        <w:rPr>
          <w:rStyle w:val="FootnoteReference"/>
          <w:rFonts w:ascii="Times New Roman" w:hAnsi="Times New Roman" w:cs="Times New Roman"/>
          <w:sz w:val="24"/>
          <w:szCs w:val="24"/>
        </w:rPr>
        <w:footnoteReference w:id="7"/>
      </w:r>
      <w:r w:rsidRPr="003122A3">
        <w:rPr>
          <w:rFonts w:ascii="Times New Roman" w:hAnsi="Times New Roman" w:cs="Times New Roman"/>
          <w:sz w:val="24"/>
          <w:szCs w:val="24"/>
        </w:rPr>
        <w:t xml:space="preserve"> academic year, only 800 out of 15,000 children from Jerusalem were enrolled in kindergartens of the municipality.</w:t>
      </w:r>
      <w:r w:rsidR="00466FA2" w:rsidRPr="003122A3">
        <w:rPr>
          <w:rFonts w:ascii="Times New Roman" w:hAnsi="Times New Roman" w:cs="Times New Roman"/>
          <w:sz w:val="24"/>
          <w:szCs w:val="24"/>
          <w:rtl/>
        </w:rPr>
        <w:t xml:space="preserve"> </w:t>
      </w:r>
      <w:r w:rsidRPr="003122A3">
        <w:rPr>
          <w:rFonts w:ascii="Times New Roman" w:hAnsi="Times New Roman" w:cs="Times New Roman"/>
          <w:sz w:val="24"/>
          <w:szCs w:val="24"/>
        </w:rPr>
        <w:t xml:space="preserve"> The same source also reports lack of early childhood establishments. Over half of the students at school age are enrolled in municipal schools, which suffer </w:t>
      </w:r>
      <w:proofErr w:type="spellStart"/>
      <w:r w:rsidRPr="003122A3">
        <w:rPr>
          <w:rFonts w:ascii="Times New Roman" w:hAnsi="Times New Roman" w:cs="Times New Roman"/>
          <w:sz w:val="24"/>
          <w:szCs w:val="24"/>
        </w:rPr>
        <w:t>overcrowdedness</w:t>
      </w:r>
      <w:proofErr w:type="spellEnd"/>
      <w:r w:rsidRPr="003122A3">
        <w:rPr>
          <w:rFonts w:ascii="Times New Roman" w:hAnsi="Times New Roman" w:cs="Times New Roman"/>
          <w:sz w:val="24"/>
          <w:szCs w:val="24"/>
        </w:rPr>
        <w:t xml:space="preserve"> and dire financial situation. Over 90% of children aging 3-4 years old do not </w:t>
      </w:r>
      <w:proofErr w:type="spellStart"/>
      <w:r w:rsidRPr="003122A3">
        <w:rPr>
          <w:rFonts w:ascii="Times New Roman" w:hAnsi="Times New Roman" w:cs="Times New Roman"/>
          <w:sz w:val="24"/>
          <w:szCs w:val="24"/>
        </w:rPr>
        <w:t>joing</w:t>
      </w:r>
      <w:proofErr w:type="spellEnd"/>
      <w:r w:rsidRPr="003122A3">
        <w:rPr>
          <w:rFonts w:ascii="Times New Roman" w:hAnsi="Times New Roman" w:cs="Times New Roman"/>
          <w:sz w:val="24"/>
          <w:szCs w:val="24"/>
        </w:rPr>
        <w:t xml:space="preserve"> any educational establishment.</w:t>
      </w:r>
    </w:p>
    <w:p w:rsidR="00765B14" w:rsidRPr="003122A3" w:rsidRDefault="00765B14" w:rsidP="00357D6E">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The same source also indicated sharp deficiency in classrooms in East Jerusalem schools, reporting a lack of 2</w:t>
      </w:r>
      <w:r w:rsidR="00F42996" w:rsidRPr="003122A3">
        <w:rPr>
          <w:rFonts w:ascii="Times New Roman" w:hAnsi="Times New Roman" w:cs="Times New Roman"/>
          <w:sz w:val="24"/>
          <w:szCs w:val="24"/>
        </w:rPr>
        <w:t>,</w:t>
      </w:r>
      <w:r w:rsidRPr="003122A3">
        <w:rPr>
          <w:rFonts w:ascii="Times New Roman" w:hAnsi="Times New Roman" w:cs="Times New Roman"/>
          <w:sz w:val="24"/>
          <w:szCs w:val="24"/>
        </w:rPr>
        <w:t>200 classrooms.</w:t>
      </w:r>
      <w:r w:rsidR="00222177">
        <w:rPr>
          <w:rFonts w:ascii="Times New Roman" w:hAnsi="Times New Roman" w:cs="Times New Roman"/>
          <w:sz w:val="24"/>
          <w:szCs w:val="24"/>
        </w:rPr>
        <w:t xml:space="preserve"> </w:t>
      </w:r>
      <w:r w:rsidRPr="003122A3">
        <w:rPr>
          <w:rFonts w:ascii="Times New Roman" w:hAnsi="Times New Roman" w:cs="Times New Roman"/>
          <w:sz w:val="24"/>
          <w:szCs w:val="24"/>
        </w:rPr>
        <w:t xml:space="preserve"> On the other hand, the occupation municipality built only 150 classrooms over the past five years. </w:t>
      </w:r>
      <w:r w:rsidR="00222177">
        <w:rPr>
          <w:rFonts w:ascii="Times New Roman" w:hAnsi="Times New Roman" w:cs="Times New Roman"/>
          <w:sz w:val="24"/>
          <w:szCs w:val="24"/>
        </w:rPr>
        <w:t xml:space="preserve"> </w:t>
      </w:r>
      <w:r w:rsidRPr="003122A3">
        <w:rPr>
          <w:rFonts w:ascii="Times New Roman" w:hAnsi="Times New Roman" w:cs="Times New Roman"/>
          <w:sz w:val="24"/>
          <w:szCs w:val="24"/>
        </w:rPr>
        <w:t xml:space="preserve">Flagrant discrimination is felt in educational staff between West and East Jerusalem. West Jerusalem schools for example have 250 </w:t>
      </w:r>
      <w:proofErr w:type="spellStart"/>
      <w:r w:rsidRPr="003122A3">
        <w:rPr>
          <w:rFonts w:ascii="Times New Roman" w:hAnsi="Times New Roman" w:cs="Times New Roman"/>
          <w:sz w:val="24"/>
          <w:szCs w:val="24"/>
        </w:rPr>
        <w:t>counsellors</w:t>
      </w:r>
      <w:proofErr w:type="spellEnd"/>
      <w:r w:rsidRPr="003122A3">
        <w:rPr>
          <w:rFonts w:ascii="Times New Roman" w:hAnsi="Times New Roman" w:cs="Times New Roman"/>
          <w:sz w:val="24"/>
          <w:szCs w:val="24"/>
        </w:rPr>
        <w:t xml:space="preserve">, compared with merely 29 </w:t>
      </w:r>
      <w:proofErr w:type="spellStart"/>
      <w:r w:rsidRPr="003122A3">
        <w:rPr>
          <w:rFonts w:ascii="Times New Roman" w:hAnsi="Times New Roman" w:cs="Times New Roman"/>
          <w:sz w:val="24"/>
          <w:szCs w:val="24"/>
        </w:rPr>
        <w:t>counsellors</w:t>
      </w:r>
      <w:proofErr w:type="spellEnd"/>
      <w:r w:rsidRPr="003122A3">
        <w:rPr>
          <w:rFonts w:ascii="Times New Roman" w:hAnsi="Times New Roman" w:cs="Times New Roman"/>
          <w:sz w:val="24"/>
          <w:szCs w:val="24"/>
        </w:rPr>
        <w:t xml:space="preserve"> in East Jerusalem schools.</w:t>
      </w:r>
    </w:p>
    <w:p w:rsidR="00D1104C" w:rsidRDefault="00765B14"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2009, 704 of the 1</w:t>
      </w:r>
      <w:r w:rsidR="00DC7B5A" w:rsidRPr="003122A3">
        <w:rPr>
          <w:rFonts w:ascii="Times New Roman" w:hAnsi="Times New Roman" w:cs="Times New Roman"/>
          <w:sz w:val="24"/>
          <w:szCs w:val="24"/>
        </w:rPr>
        <w:t>,</w:t>
      </w:r>
      <w:r w:rsidRPr="003122A3">
        <w:rPr>
          <w:rFonts w:ascii="Times New Roman" w:hAnsi="Times New Roman" w:cs="Times New Roman"/>
          <w:sz w:val="24"/>
          <w:szCs w:val="24"/>
        </w:rPr>
        <w:t xml:space="preserve">360 classrooms in East Jerusalem were of a poor standard and 221 </w:t>
      </w:r>
      <w:proofErr w:type="spellStart"/>
      <w:r w:rsidRPr="003122A3">
        <w:rPr>
          <w:rFonts w:ascii="Times New Roman" w:hAnsi="Times New Roman" w:cs="Times New Roman"/>
          <w:sz w:val="24"/>
          <w:szCs w:val="24"/>
        </w:rPr>
        <w:t>classorooms</w:t>
      </w:r>
      <w:proofErr w:type="spellEnd"/>
      <w:r w:rsidRPr="003122A3">
        <w:rPr>
          <w:rFonts w:ascii="Times New Roman" w:hAnsi="Times New Roman" w:cs="Times New Roman"/>
          <w:sz w:val="24"/>
          <w:szCs w:val="24"/>
        </w:rPr>
        <w:t xml:space="preserve"> were located in unsuitable premises. </w:t>
      </w:r>
      <w:r w:rsidR="00222177">
        <w:rPr>
          <w:rFonts w:ascii="Times New Roman" w:hAnsi="Times New Roman" w:cs="Times New Roman"/>
          <w:sz w:val="24"/>
          <w:szCs w:val="24"/>
        </w:rPr>
        <w:t xml:space="preserve"> </w:t>
      </w:r>
      <w:r w:rsidRPr="003122A3">
        <w:rPr>
          <w:rFonts w:ascii="Times New Roman" w:hAnsi="Times New Roman" w:cs="Times New Roman"/>
          <w:sz w:val="24"/>
          <w:szCs w:val="24"/>
        </w:rPr>
        <w:t xml:space="preserve">Around 12.7% of school aged children in East Jerusalem (11,900 children) were not </w:t>
      </w:r>
      <w:proofErr w:type="spellStart"/>
      <w:r w:rsidRPr="003122A3">
        <w:rPr>
          <w:rFonts w:ascii="Times New Roman" w:hAnsi="Times New Roman" w:cs="Times New Roman"/>
          <w:sz w:val="24"/>
          <w:szCs w:val="24"/>
        </w:rPr>
        <w:t>enrooled</w:t>
      </w:r>
      <w:proofErr w:type="spellEnd"/>
      <w:r w:rsidRPr="003122A3">
        <w:rPr>
          <w:rFonts w:ascii="Times New Roman" w:hAnsi="Times New Roman" w:cs="Times New Roman"/>
          <w:sz w:val="24"/>
          <w:szCs w:val="24"/>
        </w:rPr>
        <w:t xml:space="preserve"> in any educational institution, especially during the 2009/2010 academic year.</w:t>
      </w:r>
      <w:r w:rsidR="00222177">
        <w:rPr>
          <w:rFonts w:ascii="Times New Roman" w:hAnsi="Times New Roman" w:cs="Times New Roman"/>
          <w:sz w:val="24"/>
          <w:szCs w:val="24"/>
        </w:rPr>
        <w:t xml:space="preserve"> </w:t>
      </w:r>
      <w:r w:rsidRPr="003122A3">
        <w:rPr>
          <w:rFonts w:ascii="Times New Roman" w:hAnsi="Times New Roman" w:cs="Times New Roman"/>
          <w:sz w:val="24"/>
          <w:szCs w:val="24"/>
        </w:rPr>
        <w:t xml:space="preserve"> The Jerusalem municipality spent four times the amount on a child from Israeli West Jerusalem than on the education of Palestinian children in East </w:t>
      </w:r>
      <w:proofErr w:type="spellStart"/>
      <w:r w:rsidRPr="003122A3">
        <w:rPr>
          <w:rFonts w:ascii="Times New Roman" w:hAnsi="Times New Roman" w:cs="Times New Roman"/>
          <w:sz w:val="24"/>
          <w:szCs w:val="24"/>
        </w:rPr>
        <w:t>Jerusale</w:t>
      </w:r>
      <w:proofErr w:type="spellEnd"/>
      <w:r w:rsidRPr="003122A3">
        <w:rPr>
          <w:rFonts w:ascii="Times New Roman" w:hAnsi="Times New Roman" w:cs="Times New Roman"/>
          <w:sz w:val="24"/>
          <w:szCs w:val="24"/>
        </w:rPr>
        <w:t>. In 23 schools in East Jerusalem, there were 2</w:t>
      </w:r>
      <w:r w:rsidR="00E2126E">
        <w:rPr>
          <w:rFonts w:ascii="Times New Roman" w:hAnsi="Times New Roman" w:cs="Times New Roman"/>
          <w:sz w:val="24"/>
          <w:szCs w:val="24"/>
        </w:rPr>
        <w:t>,</w:t>
      </w:r>
      <w:r w:rsidRPr="003122A3">
        <w:rPr>
          <w:rFonts w:ascii="Times New Roman" w:hAnsi="Times New Roman" w:cs="Times New Roman"/>
          <w:sz w:val="24"/>
          <w:szCs w:val="24"/>
        </w:rPr>
        <w:t>250 children whose home was under a demolition order from the Israeli authorities.</w:t>
      </w:r>
      <w:r w:rsidR="00D1104C" w:rsidRPr="00024A9C">
        <w:rPr>
          <w:vertAlign w:val="superscript"/>
        </w:rPr>
        <w:footnoteReference w:id="8"/>
      </w:r>
    </w:p>
    <w:p w:rsidR="00357D6E" w:rsidRPr="003122A3" w:rsidRDefault="00357D6E" w:rsidP="00357D6E">
      <w:pPr>
        <w:spacing w:after="0" w:line="240" w:lineRule="auto"/>
        <w:jc w:val="both"/>
        <w:rPr>
          <w:rFonts w:ascii="Times New Roman" w:hAnsi="Times New Roman" w:cs="Times New Roman"/>
          <w:sz w:val="24"/>
          <w:szCs w:val="24"/>
          <w:rtl/>
        </w:rPr>
      </w:pPr>
    </w:p>
    <w:p w:rsidR="00D1104C" w:rsidRPr="003122A3" w:rsidRDefault="00765B14"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Area C</w:t>
      </w:r>
    </w:p>
    <w:p w:rsidR="00D1104C" w:rsidRDefault="00765B14" w:rsidP="00357D6E">
      <w:pPr>
        <w:spacing w:after="0" w:line="240" w:lineRule="auto"/>
        <w:jc w:val="both"/>
        <w:rPr>
          <w:rFonts w:ascii="Times New Roman" w:hAnsi="Times New Roman" w:cs="Times New Roman"/>
          <w:sz w:val="24"/>
          <w:szCs w:val="24"/>
          <w:vertAlign w:val="superscript"/>
        </w:rPr>
      </w:pPr>
      <w:r w:rsidRPr="003122A3">
        <w:rPr>
          <w:rFonts w:ascii="Times New Roman" w:hAnsi="Times New Roman" w:cs="Times New Roman"/>
          <w:sz w:val="24"/>
          <w:szCs w:val="24"/>
        </w:rPr>
        <w:t xml:space="preserve">The total area under Israeli security control is </w:t>
      </w:r>
      <w:proofErr w:type="spellStart"/>
      <w:r w:rsidRPr="003122A3">
        <w:rPr>
          <w:rFonts w:ascii="Times New Roman" w:hAnsi="Times New Roman" w:cs="Times New Roman"/>
          <w:sz w:val="24"/>
          <w:szCs w:val="24"/>
        </w:rPr>
        <w:t>approsimately</w:t>
      </w:r>
      <w:proofErr w:type="spellEnd"/>
      <w:r w:rsidRPr="003122A3">
        <w:rPr>
          <w:rFonts w:ascii="Times New Roman" w:hAnsi="Times New Roman" w:cs="Times New Roman"/>
          <w:sz w:val="24"/>
          <w:szCs w:val="24"/>
        </w:rPr>
        <w:t xml:space="preserve"> 61% of the West Bank with about 150,000 Palestinians, 18% of </w:t>
      </w:r>
      <w:proofErr w:type="spellStart"/>
      <w:r w:rsidRPr="003122A3">
        <w:rPr>
          <w:rFonts w:ascii="Times New Roman" w:hAnsi="Times New Roman" w:cs="Times New Roman"/>
          <w:sz w:val="24"/>
          <w:szCs w:val="24"/>
        </w:rPr>
        <w:t>whome</w:t>
      </w:r>
      <w:proofErr w:type="spellEnd"/>
      <w:r w:rsidRPr="003122A3">
        <w:rPr>
          <w:rFonts w:ascii="Times New Roman" w:hAnsi="Times New Roman" w:cs="Times New Roman"/>
          <w:sz w:val="24"/>
          <w:szCs w:val="24"/>
        </w:rPr>
        <w:t xml:space="preserve"> were Bedouins or pastoral families.</w:t>
      </w:r>
      <w:r w:rsidR="00467239" w:rsidRPr="003122A3">
        <w:rPr>
          <w:rFonts w:ascii="Times New Roman" w:hAnsi="Times New Roman" w:cs="Times New Roman"/>
          <w:sz w:val="24"/>
          <w:szCs w:val="24"/>
          <w:vertAlign w:val="superscript"/>
          <w:rtl/>
        </w:rPr>
        <w:t>8</w:t>
      </w:r>
    </w:p>
    <w:p w:rsidR="00357D6E" w:rsidRPr="003122A3" w:rsidRDefault="00357D6E" w:rsidP="00357D6E">
      <w:pPr>
        <w:spacing w:after="0" w:line="240" w:lineRule="auto"/>
        <w:jc w:val="both"/>
        <w:rPr>
          <w:rFonts w:ascii="Times New Roman" w:hAnsi="Times New Roman" w:cs="Times New Roman"/>
          <w:sz w:val="24"/>
          <w:szCs w:val="24"/>
        </w:rPr>
      </w:pPr>
    </w:p>
    <w:p w:rsidR="00765B14" w:rsidRDefault="00765B14"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In the period from 2006 to 2014 Israel demolished at least 817 residential units of Palestinians in the West Bank (excluding East Jerusalem), displacing thus 3,956 Palestinians including 1,925 minors. Israeli </w:t>
      </w:r>
      <w:proofErr w:type="spellStart"/>
      <w:r w:rsidRPr="003122A3">
        <w:rPr>
          <w:rFonts w:ascii="Times New Roman" w:hAnsi="Times New Roman" w:cs="Times New Roman"/>
          <w:sz w:val="24"/>
          <w:szCs w:val="24"/>
        </w:rPr>
        <w:t>authorites</w:t>
      </w:r>
      <w:proofErr w:type="spellEnd"/>
      <w:r w:rsidRPr="003122A3">
        <w:rPr>
          <w:rFonts w:ascii="Times New Roman" w:hAnsi="Times New Roman" w:cs="Times New Roman"/>
          <w:sz w:val="24"/>
          <w:szCs w:val="24"/>
        </w:rPr>
        <w:t xml:space="preserve"> repetitively demolishes houses in the Jordan </w:t>
      </w:r>
      <w:proofErr w:type="spellStart"/>
      <w:r w:rsidRPr="003122A3">
        <w:rPr>
          <w:rFonts w:ascii="Times New Roman" w:hAnsi="Times New Roman" w:cs="Times New Roman"/>
          <w:sz w:val="24"/>
          <w:szCs w:val="24"/>
        </w:rPr>
        <w:t>Valey</w:t>
      </w:r>
      <w:proofErr w:type="spellEnd"/>
      <w:r w:rsidRPr="003122A3">
        <w:rPr>
          <w:rFonts w:ascii="Times New Roman" w:hAnsi="Times New Roman" w:cs="Times New Roman"/>
          <w:sz w:val="24"/>
          <w:szCs w:val="24"/>
        </w:rPr>
        <w:t xml:space="preserve"> and southern Hebron as well as in the villages unrecognized by Israel. Until 15 December 2014, it had demolished houses displacing at least 556 Palestinians including 286 minors in these areas. Some of these houses were demolished several times. In the Governorate of Nablus, Israeli authorities demolished houses of 53 Palestinian citizens including 21 minors from the villages unrecognized by Israel</w:t>
      </w:r>
      <w:r w:rsidR="00986289">
        <w:rPr>
          <w:rStyle w:val="FootnoteReference"/>
          <w:rFonts w:ascii="Times New Roman" w:hAnsi="Times New Roman" w:cs="Times New Roman"/>
          <w:sz w:val="24"/>
          <w:szCs w:val="24"/>
        </w:rPr>
        <w:footnoteReference w:id="9"/>
      </w:r>
      <w:r w:rsidR="00986289">
        <w:rPr>
          <w:rFonts w:ascii="Times New Roman" w:hAnsi="Times New Roman" w:cs="Times New Roman"/>
          <w:sz w:val="24"/>
          <w:szCs w:val="24"/>
        </w:rPr>
        <w:t>.</w:t>
      </w:r>
    </w:p>
    <w:p w:rsidR="00357D6E" w:rsidRPr="003122A3" w:rsidRDefault="00357D6E" w:rsidP="00357D6E">
      <w:pPr>
        <w:spacing w:after="0" w:line="240" w:lineRule="auto"/>
        <w:jc w:val="both"/>
        <w:rPr>
          <w:rFonts w:ascii="Times New Roman" w:hAnsi="Times New Roman" w:cs="Times New Roman"/>
          <w:sz w:val="24"/>
          <w:szCs w:val="24"/>
        </w:rPr>
      </w:pPr>
    </w:p>
    <w:p w:rsidR="00765B14" w:rsidRDefault="00765B14" w:rsidP="00357D6E">
      <w:pPr>
        <w:pStyle w:val="ListParagraph"/>
        <w:numPr>
          <w:ilvl w:val="0"/>
          <w:numId w:val="8"/>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50,000 children enrolled in 183 schools suffer lack of access to education, insufficient schools and risk on the way to school not to mention school demolition orders.</w:t>
      </w:r>
    </w:p>
    <w:p w:rsidR="00357D6E" w:rsidRPr="003122A3" w:rsidRDefault="00357D6E" w:rsidP="00357D6E">
      <w:pPr>
        <w:pStyle w:val="ListParagraph"/>
        <w:spacing w:after="0" w:line="240" w:lineRule="auto"/>
        <w:ind w:left="714"/>
        <w:jc w:val="both"/>
        <w:rPr>
          <w:rFonts w:ascii="Times New Roman" w:hAnsi="Times New Roman" w:cs="Times New Roman"/>
          <w:sz w:val="24"/>
          <w:szCs w:val="24"/>
        </w:rPr>
      </w:pPr>
    </w:p>
    <w:p w:rsidR="00D1104C" w:rsidRDefault="00765B14" w:rsidP="00357D6E">
      <w:pPr>
        <w:spacing w:after="0" w:line="240" w:lineRule="auto"/>
        <w:jc w:val="both"/>
        <w:rPr>
          <w:rFonts w:ascii="Times New Roman" w:hAnsi="Times New Roman" w:cs="Times New Roman"/>
        </w:rPr>
      </w:pPr>
      <w:r w:rsidRPr="003122A3">
        <w:rPr>
          <w:rFonts w:ascii="Times New Roman" w:hAnsi="Times New Roman" w:cs="Times New Roman"/>
          <w:sz w:val="24"/>
          <w:szCs w:val="24"/>
        </w:rPr>
        <w:t>A survey of 113 businesses conducted by Save the Children, UNICEF and the Ministry of Education produced the following results</w:t>
      </w:r>
      <w:r w:rsidR="00222177">
        <w:rPr>
          <w:rStyle w:val="FootnoteReference"/>
          <w:rFonts w:ascii="Times New Roman" w:hAnsi="Times New Roman" w:cs="Times New Roman"/>
          <w:sz w:val="24"/>
          <w:szCs w:val="24"/>
        </w:rPr>
        <w:t>8</w:t>
      </w:r>
      <w:r w:rsidR="0049468E" w:rsidRPr="003122A3">
        <w:rPr>
          <w:rFonts w:ascii="Times New Roman" w:hAnsi="Times New Roman" w:cs="Times New Roman"/>
        </w:rPr>
        <w:t xml:space="preserve"> :</w:t>
      </w:r>
    </w:p>
    <w:p w:rsidR="00357D6E" w:rsidRPr="003122A3" w:rsidRDefault="00357D6E" w:rsidP="00357D6E">
      <w:pPr>
        <w:spacing w:after="0" w:line="240" w:lineRule="auto"/>
        <w:jc w:val="both"/>
        <w:rPr>
          <w:rFonts w:ascii="Times New Roman" w:hAnsi="Times New Roman" w:cs="Times New Roman"/>
          <w:sz w:val="24"/>
          <w:szCs w:val="24"/>
        </w:rPr>
      </w:pPr>
    </w:p>
    <w:p w:rsidR="00765B14" w:rsidRPr="003122A3"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15% of communities stated that children were forced to walk in a crowded and dangerous manner when commuting to school on foot.</w:t>
      </w:r>
    </w:p>
    <w:p w:rsidR="00765B14" w:rsidRPr="003122A3"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33% of localities (37 localities) stated that more than 1,700 children walked about 5 kilometers or more to school.</w:t>
      </w:r>
    </w:p>
    <w:p w:rsidR="00765B14" w:rsidRPr="003122A3"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11% of localities (12 localities) stated that more than 700 children walked about 3-5 kilometers on foot to school.</w:t>
      </w:r>
    </w:p>
    <w:p w:rsidR="00765B14" w:rsidRPr="003122A3"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31% of localities stated that around 2,500 children were forced to cross military checkpoints to reach school on a daily basis.</w:t>
      </w:r>
    </w:p>
    <w:p w:rsidR="00765B14" w:rsidRPr="003122A3"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29% of localities (33 localities) said children had to cross the apartheid wall to reach school.</w:t>
      </w:r>
    </w:p>
    <w:p w:rsidR="00765B14" w:rsidRPr="003122A3"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16% of localities (</w:t>
      </w:r>
      <w:r w:rsidR="006A5896" w:rsidRPr="003122A3">
        <w:rPr>
          <w:rFonts w:ascii="Times New Roman" w:hAnsi="Times New Roman" w:cs="Times New Roman"/>
          <w:sz w:val="24"/>
          <w:szCs w:val="24"/>
        </w:rPr>
        <w:t>18</w:t>
      </w:r>
      <w:r w:rsidRPr="003122A3">
        <w:rPr>
          <w:rFonts w:ascii="Times New Roman" w:hAnsi="Times New Roman" w:cs="Times New Roman"/>
          <w:sz w:val="24"/>
          <w:szCs w:val="24"/>
        </w:rPr>
        <w:t xml:space="preserve"> localities) reported harassment by the Israeli army during crossing the wall.</w:t>
      </w:r>
    </w:p>
    <w:p w:rsidR="00765B14" w:rsidRPr="003122A3"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28% of localities reported violence by Israeli settlers.</w:t>
      </w:r>
    </w:p>
    <w:p w:rsidR="00765B14" w:rsidRPr="003122A3"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26% of localities reported violence and harassment by the Israeli occupation army.</w:t>
      </w:r>
    </w:p>
    <w:p w:rsidR="00765B14" w:rsidRPr="003122A3"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10,000 children were learning in tents, caravans and tin shacks that provided no protection against heat or cold.</w:t>
      </w:r>
    </w:p>
    <w:p w:rsidR="00765B14" w:rsidRDefault="00765B14" w:rsidP="00357D6E">
      <w:pPr>
        <w:pStyle w:val="ListParagraph"/>
        <w:numPr>
          <w:ilvl w:val="0"/>
          <w:numId w:val="7"/>
        </w:numPr>
        <w:spacing w:after="0" w:line="240" w:lineRule="auto"/>
        <w:ind w:left="714" w:hanging="357"/>
        <w:jc w:val="both"/>
        <w:rPr>
          <w:rFonts w:ascii="Times New Roman" w:hAnsi="Times New Roman" w:cs="Times New Roman"/>
          <w:sz w:val="24"/>
          <w:szCs w:val="24"/>
        </w:rPr>
      </w:pPr>
      <w:r w:rsidRPr="003122A3">
        <w:rPr>
          <w:rFonts w:ascii="Times New Roman" w:hAnsi="Times New Roman" w:cs="Times New Roman"/>
          <w:sz w:val="24"/>
          <w:szCs w:val="24"/>
        </w:rPr>
        <w:t>In 2010, 31% of schools lacked adequate water and sanitation systems.</w:t>
      </w:r>
    </w:p>
    <w:p w:rsidR="00357D6E" w:rsidRPr="003122A3" w:rsidRDefault="00357D6E" w:rsidP="00357D6E">
      <w:pPr>
        <w:pStyle w:val="ListParagraph"/>
        <w:spacing w:after="0" w:line="240" w:lineRule="auto"/>
        <w:ind w:left="714"/>
        <w:jc w:val="both"/>
        <w:rPr>
          <w:rFonts w:ascii="Times New Roman" w:hAnsi="Times New Roman" w:cs="Times New Roman"/>
          <w:sz w:val="24"/>
          <w:szCs w:val="24"/>
        </w:rPr>
      </w:pPr>
    </w:p>
    <w:p w:rsidR="00D1104C" w:rsidRPr="003122A3" w:rsidRDefault="00765B14" w:rsidP="00914D9D">
      <w:pPr>
        <w:jc w:val="both"/>
        <w:rPr>
          <w:rFonts w:ascii="Times New Roman" w:hAnsi="Times New Roman" w:cs="Times New Roman"/>
          <w:b/>
          <w:bCs/>
          <w:sz w:val="24"/>
          <w:szCs w:val="24"/>
        </w:rPr>
      </w:pPr>
      <w:r w:rsidRPr="003122A3">
        <w:rPr>
          <w:rFonts w:ascii="Times New Roman" w:hAnsi="Times New Roman" w:cs="Times New Roman"/>
          <w:b/>
          <w:bCs/>
          <w:sz w:val="24"/>
          <w:szCs w:val="24"/>
        </w:rPr>
        <w:t>Gaza Strip</w:t>
      </w:r>
    </w:p>
    <w:p w:rsidR="00765B14" w:rsidRDefault="00765B14"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recent years the Gaza Strip has been subjected to an economic blockade and several military incursions, resulting in the deterioration of health, social, psychological conditions and of education and economic development. Numerous children have been killed, wounded or disabled. Anemia is common and chronic health problems result from lack of access to health services and shortage of safe drinking water. A UNDP report</w:t>
      </w:r>
      <w:r w:rsidRPr="003122A3">
        <w:rPr>
          <w:rStyle w:val="FootnoteReference"/>
          <w:rFonts w:ascii="Times New Roman" w:hAnsi="Times New Roman" w:cs="Times New Roman"/>
          <w:sz w:val="24"/>
          <w:szCs w:val="24"/>
          <w:rtl/>
        </w:rPr>
        <w:footnoteReference w:id="10"/>
      </w:r>
      <w:r w:rsidRPr="003122A3">
        <w:rPr>
          <w:rFonts w:ascii="Times New Roman" w:hAnsi="Times New Roman" w:cs="Times New Roman"/>
          <w:sz w:val="24"/>
          <w:szCs w:val="24"/>
        </w:rPr>
        <w:t xml:space="preserve"> showed that 80% of households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were </w:t>
      </w:r>
      <w:proofErr w:type="spellStart"/>
      <w:r w:rsidRPr="003122A3">
        <w:rPr>
          <w:rFonts w:ascii="Times New Roman" w:hAnsi="Times New Roman" w:cs="Times New Roman"/>
          <w:sz w:val="24"/>
          <w:szCs w:val="24"/>
        </w:rPr>
        <w:t>relient</w:t>
      </w:r>
      <w:proofErr w:type="spellEnd"/>
      <w:r w:rsidRPr="003122A3">
        <w:rPr>
          <w:rFonts w:ascii="Times New Roman" w:hAnsi="Times New Roman" w:cs="Times New Roman"/>
          <w:sz w:val="24"/>
          <w:szCs w:val="24"/>
        </w:rPr>
        <w:t xml:space="preserve"> on aid while 70% suffered from food insecurity</w:t>
      </w:r>
      <w:r w:rsidR="006A5896" w:rsidRPr="003122A3">
        <w:rPr>
          <w:rFonts w:ascii="Times New Roman" w:hAnsi="Times New Roman" w:cs="Times New Roman"/>
          <w:sz w:val="24"/>
          <w:szCs w:val="24"/>
        </w:rPr>
        <w:t xml:space="preserve"> </w:t>
      </w:r>
      <w:r w:rsidRPr="003122A3">
        <w:rPr>
          <w:rFonts w:ascii="Times New Roman" w:hAnsi="Times New Roman" w:cs="Times New Roman"/>
          <w:sz w:val="24"/>
          <w:szCs w:val="24"/>
        </w:rPr>
        <w:t>and unemployment rates scored 43.9%. The last incursion against the Gaza Strip resulted in the following:</w:t>
      </w:r>
    </w:p>
    <w:p w:rsidR="00357D6E" w:rsidRPr="003122A3" w:rsidRDefault="00357D6E" w:rsidP="00357D6E">
      <w:pPr>
        <w:spacing w:after="0" w:line="240" w:lineRule="auto"/>
        <w:jc w:val="both"/>
        <w:rPr>
          <w:rFonts w:ascii="Times New Roman" w:hAnsi="Times New Roman" w:cs="Times New Roman"/>
          <w:sz w:val="24"/>
          <w:szCs w:val="24"/>
          <w:rtl/>
        </w:rPr>
      </w:pPr>
    </w:p>
    <w:p w:rsidR="00765B14" w:rsidRDefault="00765B14"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Over 1.2 million people were </w:t>
      </w:r>
      <w:proofErr w:type="spellStart"/>
      <w:r w:rsidRPr="003122A3">
        <w:rPr>
          <w:rFonts w:ascii="Times New Roman" w:hAnsi="Times New Roman" w:cs="Times New Roman"/>
          <w:sz w:val="24"/>
          <w:szCs w:val="24"/>
        </w:rPr>
        <w:t>depried</w:t>
      </w:r>
      <w:proofErr w:type="spellEnd"/>
      <w:r w:rsidRPr="003122A3">
        <w:rPr>
          <w:rFonts w:ascii="Times New Roman" w:hAnsi="Times New Roman" w:cs="Times New Roman"/>
          <w:sz w:val="24"/>
          <w:szCs w:val="24"/>
        </w:rPr>
        <w:t xml:space="preserve"> access to water during the war on Gaza. </w:t>
      </w:r>
    </w:p>
    <w:p w:rsidR="00357D6E" w:rsidRPr="003122A3" w:rsidRDefault="00357D6E" w:rsidP="00357D6E">
      <w:pPr>
        <w:spacing w:after="0" w:line="240" w:lineRule="auto"/>
        <w:jc w:val="both"/>
        <w:rPr>
          <w:rFonts w:ascii="Times New Roman" w:hAnsi="Times New Roman" w:cs="Times New Roman"/>
          <w:sz w:val="24"/>
          <w:szCs w:val="24"/>
        </w:rPr>
      </w:pPr>
    </w:p>
    <w:p w:rsidR="00765B14" w:rsidRDefault="00765B14"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One of every four Palestinians were forcibly displaced during the war.</w:t>
      </w:r>
    </w:p>
    <w:p w:rsidR="00357D6E" w:rsidRPr="003122A3" w:rsidRDefault="00357D6E" w:rsidP="00357D6E">
      <w:pPr>
        <w:spacing w:after="0" w:line="240" w:lineRule="auto"/>
        <w:jc w:val="both"/>
        <w:rPr>
          <w:rFonts w:ascii="Times New Roman" w:hAnsi="Times New Roman" w:cs="Times New Roman"/>
          <w:sz w:val="24"/>
          <w:szCs w:val="24"/>
        </w:rPr>
      </w:pPr>
    </w:p>
    <w:p w:rsidR="00765B14" w:rsidRDefault="00765B14" w:rsidP="00DC438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600,000 </w:t>
      </w:r>
      <w:r w:rsidR="00DC4382">
        <w:rPr>
          <w:rFonts w:ascii="Times New Roman" w:hAnsi="Times New Roman" w:cs="Times New Roman"/>
          <w:sz w:val="24"/>
          <w:szCs w:val="24"/>
        </w:rPr>
        <w:t>dwellings</w:t>
      </w:r>
      <w:r w:rsidRPr="003122A3">
        <w:rPr>
          <w:rFonts w:ascii="Times New Roman" w:hAnsi="Times New Roman" w:cs="Times New Roman"/>
          <w:sz w:val="24"/>
          <w:szCs w:val="24"/>
        </w:rPr>
        <w:t xml:space="preserve"> were totally or partially destroyed.</w:t>
      </w:r>
    </w:p>
    <w:p w:rsidR="00357D6E" w:rsidRPr="003122A3" w:rsidRDefault="00357D6E" w:rsidP="00357D6E">
      <w:pPr>
        <w:spacing w:after="0" w:line="240" w:lineRule="auto"/>
        <w:jc w:val="both"/>
        <w:rPr>
          <w:rFonts w:ascii="Times New Roman" w:hAnsi="Times New Roman" w:cs="Times New Roman"/>
          <w:sz w:val="24"/>
          <w:szCs w:val="24"/>
        </w:rPr>
      </w:pPr>
    </w:p>
    <w:p w:rsidR="00765B14" w:rsidRDefault="00765B14"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77 health establishments were total or partially destroyed</w:t>
      </w:r>
    </w:p>
    <w:p w:rsidR="00357D6E" w:rsidRPr="003122A3" w:rsidRDefault="00357D6E" w:rsidP="00357D6E">
      <w:pPr>
        <w:spacing w:after="0" w:line="240" w:lineRule="auto"/>
        <w:jc w:val="both"/>
        <w:rPr>
          <w:rFonts w:ascii="Times New Roman" w:hAnsi="Times New Roman" w:cs="Times New Roman"/>
          <w:sz w:val="24"/>
          <w:szCs w:val="24"/>
        </w:rPr>
      </w:pPr>
    </w:p>
    <w:p w:rsidR="007421D4" w:rsidRDefault="00765B14"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Around half a million students were unable to begin the new school year </w:t>
      </w:r>
      <w:r w:rsidR="00A91E3A">
        <w:rPr>
          <w:rFonts w:ascii="Times New Roman" w:hAnsi="Times New Roman" w:cs="Times New Roman"/>
          <w:sz w:val="24"/>
          <w:szCs w:val="24"/>
        </w:rPr>
        <w:t>in Gaza Strip</w:t>
      </w:r>
      <w:r w:rsidRPr="003122A3">
        <w:rPr>
          <w:rFonts w:ascii="Times New Roman" w:hAnsi="Times New Roman" w:cs="Times New Roman"/>
          <w:sz w:val="24"/>
          <w:szCs w:val="24"/>
        </w:rPr>
        <w:t>.</w:t>
      </w:r>
    </w:p>
    <w:p w:rsidR="00357D6E" w:rsidRPr="003122A3" w:rsidRDefault="00357D6E" w:rsidP="00357D6E">
      <w:pPr>
        <w:spacing w:after="0" w:line="240" w:lineRule="auto"/>
        <w:jc w:val="both"/>
        <w:rPr>
          <w:rFonts w:ascii="Times New Roman" w:hAnsi="Times New Roman" w:cs="Times New Roman"/>
          <w:sz w:val="24"/>
          <w:szCs w:val="24"/>
        </w:rPr>
      </w:pPr>
    </w:p>
    <w:p w:rsidR="00765B14" w:rsidRDefault="00765B14" w:rsidP="00914D9D">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UNICEF reported that during the last war on the Gaza Strip (7/7/2014-26/8/2014</w:t>
      </w:r>
      <w:r w:rsidR="009B651A">
        <w:rPr>
          <w:rFonts w:ascii="Times New Roman" w:hAnsi="Times New Roman" w:cs="Times New Roman"/>
          <w:sz w:val="24"/>
          <w:szCs w:val="24"/>
        </w:rPr>
        <w:t>)</w:t>
      </w:r>
      <w:r w:rsidR="00914D9D">
        <w:rPr>
          <w:rStyle w:val="FootnoteReference"/>
          <w:rFonts w:ascii="Times New Roman" w:hAnsi="Times New Roman" w:cs="Times New Roman"/>
          <w:sz w:val="24"/>
          <w:szCs w:val="24"/>
        </w:rPr>
        <w:footnoteReference w:id="11"/>
      </w:r>
      <w:r w:rsidRPr="003122A3">
        <w:rPr>
          <w:rFonts w:ascii="Times New Roman" w:hAnsi="Times New Roman" w:cs="Times New Roman"/>
          <w:sz w:val="24"/>
          <w:szCs w:val="24"/>
        </w:rPr>
        <w:t xml:space="preserve">, 2,257 people, including 540 children (340 males and 200 females) aging 10 days to 17 years </w:t>
      </w:r>
      <w:proofErr w:type="spellStart"/>
      <w:r w:rsidRPr="003122A3">
        <w:rPr>
          <w:rFonts w:ascii="Times New Roman" w:hAnsi="Times New Roman" w:cs="Times New Roman"/>
          <w:sz w:val="24"/>
          <w:szCs w:val="24"/>
        </w:rPr>
        <w:t>martured</w:t>
      </w:r>
      <w:proofErr w:type="spellEnd"/>
      <w:r w:rsidRPr="003122A3">
        <w:rPr>
          <w:rFonts w:ascii="Times New Roman" w:hAnsi="Times New Roman" w:cs="Times New Roman"/>
          <w:sz w:val="24"/>
          <w:szCs w:val="24"/>
        </w:rPr>
        <w:t>. The war resulted in the following:</w:t>
      </w:r>
    </w:p>
    <w:p w:rsidR="00357D6E" w:rsidRPr="003122A3" w:rsidRDefault="00357D6E" w:rsidP="00357D6E">
      <w:pPr>
        <w:spacing w:after="0" w:line="240" w:lineRule="auto"/>
        <w:jc w:val="both"/>
        <w:rPr>
          <w:rFonts w:ascii="Times New Roman" w:hAnsi="Times New Roman" w:cs="Times New Roman"/>
          <w:sz w:val="24"/>
          <w:szCs w:val="24"/>
        </w:rPr>
      </w:pPr>
    </w:p>
    <w:p w:rsidR="00050F7D" w:rsidRDefault="00050F7D"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2,956 children (1,938 males and 1,018 females) were injured during the last assault on Gaza</w:t>
      </w:r>
    </w:p>
    <w:p w:rsidR="00357D6E" w:rsidRPr="003122A3" w:rsidRDefault="00357D6E" w:rsidP="00357D6E">
      <w:pPr>
        <w:spacing w:after="0" w:line="240" w:lineRule="auto"/>
        <w:jc w:val="both"/>
        <w:rPr>
          <w:rFonts w:ascii="Times New Roman" w:hAnsi="Times New Roman" w:cs="Times New Roman"/>
          <w:sz w:val="24"/>
          <w:szCs w:val="24"/>
        </w:rPr>
      </w:pPr>
    </w:p>
    <w:p w:rsidR="00050F7D" w:rsidRDefault="00050F7D"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89 families were killed and removed from population registry</w:t>
      </w:r>
    </w:p>
    <w:p w:rsidR="00357D6E" w:rsidRPr="003122A3" w:rsidRDefault="00357D6E" w:rsidP="00357D6E">
      <w:pPr>
        <w:spacing w:after="0" w:line="240" w:lineRule="auto"/>
        <w:jc w:val="both"/>
        <w:rPr>
          <w:rFonts w:ascii="Times New Roman" w:hAnsi="Times New Roman" w:cs="Times New Roman"/>
          <w:sz w:val="24"/>
          <w:szCs w:val="24"/>
        </w:rPr>
      </w:pPr>
    </w:p>
    <w:p w:rsidR="00050F7D" w:rsidRDefault="00050F7D"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1,500 children were orphaned</w:t>
      </w:r>
    </w:p>
    <w:p w:rsidR="00357D6E" w:rsidRPr="003122A3" w:rsidRDefault="00357D6E" w:rsidP="00357D6E">
      <w:pPr>
        <w:spacing w:after="0" w:line="240" w:lineRule="auto"/>
        <w:jc w:val="both"/>
        <w:rPr>
          <w:rFonts w:ascii="Times New Roman" w:hAnsi="Times New Roman" w:cs="Times New Roman"/>
          <w:sz w:val="24"/>
          <w:szCs w:val="24"/>
        </w:rPr>
      </w:pPr>
    </w:p>
    <w:p w:rsidR="00050F7D" w:rsidRDefault="00050F7D" w:rsidP="00357D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54,000 children became </w:t>
      </w:r>
      <w:proofErr w:type="spellStart"/>
      <w:r w:rsidRPr="003122A3">
        <w:rPr>
          <w:rFonts w:ascii="Times New Roman" w:hAnsi="Times New Roman" w:cs="Times New Roman"/>
          <w:sz w:val="24"/>
          <w:szCs w:val="24"/>
        </w:rPr>
        <w:t>homless</w:t>
      </w:r>
      <w:proofErr w:type="spellEnd"/>
    </w:p>
    <w:p w:rsidR="00357D6E" w:rsidRPr="003122A3" w:rsidRDefault="00357D6E" w:rsidP="00357D6E">
      <w:pPr>
        <w:spacing w:after="0" w:line="240" w:lineRule="auto"/>
        <w:jc w:val="both"/>
        <w:rPr>
          <w:rFonts w:ascii="Times New Roman" w:hAnsi="Times New Roman" w:cs="Times New Roman"/>
          <w:sz w:val="24"/>
          <w:szCs w:val="24"/>
        </w:rPr>
      </w:pPr>
    </w:p>
    <w:p w:rsidR="00050F7D" w:rsidRPr="003122A3" w:rsidRDefault="00050F7D" w:rsidP="009B651A">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A report published by the Palestinian Ministry of Education and Higher Education</w:t>
      </w:r>
      <w:r w:rsidR="00F10235" w:rsidRPr="00914D9D">
        <w:rPr>
          <w:rStyle w:val="FootnoteReference"/>
          <w:rFonts w:ascii="Times New Roman" w:hAnsi="Times New Roman" w:cs="Times New Roman"/>
          <w:sz w:val="24"/>
          <w:szCs w:val="24"/>
        </w:rPr>
        <w:footnoteReference w:id="12"/>
      </w:r>
      <w:r w:rsidRPr="003122A3">
        <w:rPr>
          <w:rFonts w:ascii="Times New Roman" w:hAnsi="Times New Roman" w:cs="Times New Roman"/>
          <w:sz w:val="24"/>
          <w:szCs w:val="24"/>
        </w:rPr>
        <w:t xml:space="preserve"> showed that 187 government schools and 91 UNRWA schools were damaged in addition to 3 governmental higher education establishments and 9 non-governmental higher education establishments. 49 private schools were also damaged, together with 199 kindergartens.</w:t>
      </w:r>
      <w:r w:rsidR="00AE3D88">
        <w:rPr>
          <w:rFonts w:ascii="Times New Roman" w:hAnsi="Times New Roman" w:cs="Times New Roman"/>
          <w:sz w:val="24"/>
          <w:szCs w:val="24"/>
        </w:rPr>
        <w:t xml:space="preserve"> </w:t>
      </w:r>
      <w:r w:rsidRPr="003122A3">
        <w:rPr>
          <w:rFonts w:ascii="Times New Roman" w:hAnsi="Times New Roman" w:cs="Times New Roman"/>
          <w:sz w:val="24"/>
          <w:szCs w:val="24"/>
        </w:rPr>
        <w:t xml:space="preserve"> 250 students and 15 teachers </w:t>
      </w:r>
      <w:proofErr w:type="spellStart"/>
      <w:r w:rsidRPr="003122A3">
        <w:rPr>
          <w:rFonts w:ascii="Times New Roman" w:hAnsi="Times New Roman" w:cs="Times New Roman"/>
          <w:sz w:val="24"/>
          <w:szCs w:val="24"/>
        </w:rPr>
        <w:t>martured</w:t>
      </w:r>
      <w:proofErr w:type="spellEnd"/>
      <w:r w:rsidRPr="003122A3">
        <w:rPr>
          <w:rFonts w:ascii="Times New Roman" w:hAnsi="Times New Roman" w:cs="Times New Roman"/>
          <w:sz w:val="24"/>
          <w:szCs w:val="24"/>
        </w:rPr>
        <w:t xml:space="preserve"> and 856 students and 19 teachers were injured.</w:t>
      </w:r>
    </w:p>
    <w:p w:rsidR="00B23608" w:rsidRPr="003122A3" w:rsidRDefault="00B23608" w:rsidP="008E657F">
      <w:pPr>
        <w:jc w:val="both"/>
        <w:rPr>
          <w:rFonts w:ascii="Times New Roman" w:hAnsi="Times New Roman" w:cs="Times New Roman"/>
          <w:sz w:val="24"/>
          <w:szCs w:val="24"/>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69643C" w:rsidRPr="003122A3" w:rsidRDefault="0069643C" w:rsidP="008E657F">
      <w:pPr>
        <w:jc w:val="both"/>
        <w:rPr>
          <w:rFonts w:ascii="Times New Roman" w:hAnsi="Times New Roman" w:cs="Times New Roman"/>
          <w:b/>
          <w:bCs/>
          <w:rtl/>
        </w:rPr>
      </w:pPr>
    </w:p>
    <w:p w:rsidR="00050F7D" w:rsidRPr="003122A3" w:rsidRDefault="00050F7D" w:rsidP="008E657F">
      <w:pPr>
        <w:jc w:val="both"/>
        <w:rPr>
          <w:rFonts w:ascii="Times New Roman" w:hAnsi="Times New Roman" w:cs="Times New Roman"/>
          <w:b/>
          <w:bCs/>
          <w:rtl/>
        </w:rPr>
      </w:pPr>
      <w:r w:rsidRPr="003122A3">
        <w:rPr>
          <w:rFonts w:ascii="Times New Roman" w:hAnsi="Times New Roman" w:cs="Times New Roman"/>
          <w:b/>
          <w:bCs/>
          <w:rtl/>
        </w:rPr>
        <w:br w:type="page"/>
      </w:r>
    </w:p>
    <w:p w:rsidR="00C83201" w:rsidRPr="00AE3D88" w:rsidRDefault="00050F7D" w:rsidP="008E657F">
      <w:pPr>
        <w:pStyle w:val="Heading1"/>
        <w:jc w:val="center"/>
        <w:rPr>
          <w:rFonts w:ascii="Times New Roman" w:hAnsi="Times New Roman" w:cs="Times New Roman"/>
          <w:b w:val="0"/>
          <w:bCs w:val="0"/>
          <w:color w:val="auto"/>
          <w:sz w:val="24"/>
          <w:szCs w:val="24"/>
          <w:rtl/>
        </w:rPr>
      </w:pPr>
      <w:bookmarkStart w:id="13" w:name="_Toc420244968"/>
      <w:r w:rsidRPr="00AE3D88">
        <w:rPr>
          <w:rFonts w:ascii="Times New Roman" w:hAnsi="Times New Roman" w:cs="Times New Roman"/>
          <w:b w:val="0"/>
          <w:bCs w:val="0"/>
          <w:color w:val="auto"/>
          <w:sz w:val="24"/>
          <w:szCs w:val="24"/>
        </w:rPr>
        <w:t>Chapter Three</w:t>
      </w:r>
      <w:bookmarkEnd w:id="13"/>
    </w:p>
    <w:p w:rsidR="00D1104C" w:rsidRPr="003122A3" w:rsidRDefault="00050F7D" w:rsidP="008E657F">
      <w:pPr>
        <w:pStyle w:val="Heading1"/>
        <w:jc w:val="center"/>
        <w:rPr>
          <w:rFonts w:ascii="Times New Roman" w:hAnsi="Times New Roman" w:cs="Times New Roman"/>
          <w:color w:val="auto"/>
        </w:rPr>
      </w:pPr>
      <w:bookmarkStart w:id="14" w:name="_Toc420244969"/>
      <w:r w:rsidRPr="003122A3">
        <w:rPr>
          <w:rFonts w:ascii="Times New Roman" w:hAnsi="Times New Roman" w:cs="Times New Roman"/>
          <w:color w:val="auto"/>
        </w:rPr>
        <w:t xml:space="preserve">Education Sector </w:t>
      </w:r>
      <w:r w:rsidR="005F3057" w:rsidRPr="003122A3">
        <w:rPr>
          <w:rStyle w:val="FootnoteReference"/>
          <w:rFonts w:ascii="Times New Roman" w:hAnsi="Times New Roman" w:cs="Times New Roman"/>
          <w:color w:val="auto"/>
          <w:rtl/>
        </w:rPr>
        <w:footnoteReference w:id="13"/>
      </w:r>
      <w:bookmarkEnd w:id="14"/>
    </w:p>
    <w:p w:rsidR="00D1104C" w:rsidRPr="00391F11" w:rsidRDefault="00D1104C" w:rsidP="008E657F">
      <w:pPr>
        <w:jc w:val="both"/>
        <w:rPr>
          <w:rFonts w:ascii="Times New Roman" w:hAnsi="Times New Roman" w:cs="Times New Roman"/>
          <w:b/>
          <w:bCs/>
          <w:sz w:val="24"/>
          <w:szCs w:val="24"/>
        </w:rPr>
      </w:pPr>
    </w:p>
    <w:p w:rsidR="00050F7D" w:rsidRPr="003122A3" w:rsidRDefault="00050F7D"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An investment in education provides children with knowledge and skills without which they are unlikely to reach their highest potential. For children living in poverty or from marginalized areas, education may prove critical to survival and to breaking a cycle of poverty; it may also provide the opportunity for a child to thrive. The role of the government is to facilitate children’s access to education by creating a supportive environment at all level: through legislation and legal support, policy planning, the development of budgets, programs and services and through building partnerships.</w:t>
      </w:r>
    </w:p>
    <w:p w:rsidR="00050F7D" w:rsidRPr="003122A3" w:rsidRDefault="00050F7D" w:rsidP="008E657F">
      <w:pPr>
        <w:jc w:val="both"/>
        <w:rPr>
          <w:rFonts w:ascii="Times New Roman" w:hAnsi="Times New Roman" w:cs="Times New Roman"/>
          <w:sz w:val="24"/>
          <w:szCs w:val="24"/>
        </w:rPr>
      </w:pPr>
    </w:p>
    <w:p w:rsidR="00D1104C" w:rsidRPr="003122A3" w:rsidRDefault="00050F7D" w:rsidP="00195523">
      <w:pPr>
        <w:pStyle w:val="Heading2"/>
        <w:ind w:firstLineChars="0" w:firstLine="0"/>
        <w:jc w:val="left"/>
        <w:rPr>
          <w:rFonts w:ascii="Times New Roman" w:hAnsi="Times New Roman" w:cs="Times New Roman"/>
          <w:sz w:val="24"/>
          <w:szCs w:val="24"/>
        </w:rPr>
      </w:pPr>
      <w:bookmarkStart w:id="15" w:name="_Toc420244970"/>
      <w:r w:rsidRPr="003122A3">
        <w:rPr>
          <w:rFonts w:ascii="Times New Roman" w:hAnsi="Times New Roman" w:cs="Times New Roman"/>
          <w:sz w:val="24"/>
          <w:szCs w:val="24"/>
        </w:rPr>
        <w:t>3.1 Public spending on Education</w:t>
      </w:r>
      <w:bookmarkEnd w:id="15"/>
    </w:p>
    <w:p w:rsidR="00195523" w:rsidRPr="003122A3" w:rsidRDefault="00195523" w:rsidP="00195523">
      <w:pPr>
        <w:rPr>
          <w:rFonts w:ascii="Times New Roman" w:hAnsi="Times New Roman" w:cs="Times New Roman"/>
          <w:rtl/>
          <w:lang w:eastAsia="ar-SA"/>
        </w:rPr>
      </w:pPr>
    </w:p>
    <w:p w:rsidR="00050F7D" w:rsidRDefault="00050F7D" w:rsidP="00D3094D">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While the cost of education per student increased from US</w:t>
      </w:r>
      <w:r w:rsidR="00610385">
        <w:rPr>
          <w:rFonts w:ascii="Times New Roman" w:hAnsi="Times New Roman" w:cs="Times New Roman"/>
          <w:sz w:val="24"/>
          <w:szCs w:val="24"/>
        </w:rPr>
        <w:t>D</w:t>
      </w:r>
      <w:r w:rsidRPr="003122A3">
        <w:rPr>
          <w:rFonts w:ascii="Times New Roman" w:hAnsi="Times New Roman" w:cs="Times New Roman"/>
          <w:sz w:val="24"/>
          <w:szCs w:val="24"/>
        </w:rPr>
        <w:t xml:space="preserve"> 709.3 in 2008/2009 to US</w:t>
      </w:r>
      <w:r w:rsidR="00610385">
        <w:rPr>
          <w:rFonts w:ascii="Times New Roman" w:hAnsi="Times New Roman" w:cs="Times New Roman"/>
          <w:sz w:val="24"/>
          <w:szCs w:val="24"/>
        </w:rPr>
        <w:t>D</w:t>
      </w:r>
      <w:r w:rsidRPr="003122A3">
        <w:rPr>
          <w:rFonts w:ascii="Times New Roman" w:hAnsi="Times New Roman" w:cs="Times New Roman"/>
          <w:sz w:val="24"/>
          <w:szCs w:val="24"/>
        </w:rPr>
        <w:t xml:space="preserve"> 823.1 in 2011/2012, the budget allocation for education declined from 17.8%</w:t>
      </w:r>
      <w:r w:rsidR="005C227C">
        <w:rPr>
          <w:rFonts w:ascii="Times New Roman" w:hAnsi="Times New Roman" w:cs="Times New Roman" w:hint="cs"/>
          <w:sz w:val="24"/>
          <w:szCs w:val="24"/>
          <w:rtl/>
        </w:rPr>
        <w:t xml:space="preserve"> </w:t>
      </w:r>
      <w:r w:rsidR="005F20F0" w:rsidRPr="00884E8E">
        <w:rPr>
          <w:vertAlign w:val="superscript"/>
        </w:rPr>
        <w:footnoteReference w:id="14"/>
      </w:r>
      <w:r w:rsidRPr="003122A3">
        <w:rPr>
          <w:rFonts w:ascii="Times New Roman" w:hAnsi="Times New Roman" w:cs="Times New Roman"/>
          <w:sz w:val="24"/>
          <w:szCs w:val="24"/>
        </w:rPr>
        <w:t xml:space="preserve"> to 17.7%, slightly lower than in 2008/2009.</w:t>
      </w:r>
      <w:r w:rsidR="00195523" w:rsidRPr="003122A3">
        <w:rPr>
          <w:rFonts w:ascii="Times New Roman" w:hAnsi="Times New Roman" w:cs="Times New Roman"/>
          <w:sz w:val="24"/>
          <w:szCs w:val="24"/>
        </w:rPr>
        <w:t xml:space="preserve"> </w:t>
      </w:r>
      <w:r w:rsidRPr="003122A3">
        <w:rPr>
          <w:rFonts w:ascii="Times New Roman" w:hAnsi="Times New Roman" w:cs="Times New Roman"/>
          <w:sz w:val="24"/>
          <w:szCs w:val="24"/>
        </w:rPr>
        <w:t xml:space="preserve"> Only 10</w:t>
      </w:r>
      <w:r w:rsidR="00377500">
        <w:rPr>
          <w:rFonts w:ascii="Times New Roman" w:hAnsi="Times New Roman" w:cs="Times New Roman"/>
          <w:sz w:val="24"/>
          <w:szCs w:val="24"/>
        </w:rPr>
        <w:t>.0</w:t>
      </w:r>
      <w:r w:rsidRPr="003122A3">
        <w:rPr>
          <w:rFonts w:ascii="Times New Roman" w:hAnsi="Times New Roman" w:cs="Times New Roman"/>
          <w:sz w:val="24"/>
          <w:szCs w:val="24"/>
        </w:rPr>
        <w:t>% of the education budget was allocated to development, with operating expenses and salaries comprising the bulk of expenditure</w:t>
      </w:r>
    </w:p>
    <w:p w:rsidR="00CF5CE2" w:rsidRPr="003122A3" w:rsidRDefault="00CF5CE2" w:rsidP="00CF5CE2">
      <w:pPr>
        <w:spacing w:after="0" w:line="240" w:lineRule="auto"/>
        <w:jc w:val="both"/>
        <w:rPr>
          <w:rFonts w:ascii="Times New Roman" w:hAnsi="Times New Roman" w:cs="Times New Roman"/>
          <w:sz w:val="24"/>
          <w:szCs w:val="24"/>
          <w:rtl/>
        </w:rPr>
      </w:pPr>
    </w:p>
    <w:p w:rsidR="0073447A" w:rsidRPr="003122A3" w:rsidRDefault="0073447A" w:rsidP="005D0CB7">
      <w:pPr>
        <w:pStyle w:val="Caption"/>
        <w:bidi w:val="0"/>
        <w:rPr>
          <w:sz w:val="22"/>
          <w:szCs w:val="22"/>
        </w:rPr>
      </w:pPr>
      <w:bookmarkStart w:id="16" w:name="_Toc420268216"/>
      <w:r w:rsidRPr="003122A3">
        <w:rPr>
          <w:sz w:val="22"/>
          <w:szCs w:val="22"/>
        </w:rPr>
        <w:t>Figure</w:t>
      </w:r>
      <w:r w:rsidR="00F42996"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2</w:t>
      </w:r>
      <w:r w:rsidR="008F57C8" w:rsidRPr="003122A3">
        <w:rPr>
          <w:sz w:val="22"/>
          <w:szCs w:val="22"/>
          <w:rtl/>
        </w:rPr>
        <w:fldChar w:fldCharType="end"/>
      </w:r>
      <w:r w:rsidRPr="003122A3">
        <w:rPr>
          <w:sz w:val="22"/>
          <w:szCs w:val="22"/>
        </w:rPr>
        <w:t>: Percentage of Spending on Education Compared to Cost per Student in Selected School Years</w:t>
      </w:r>
      <w:bookmarkEnd w:id="16"/>
    </w:p>
    <w:p w:rsidR="00D06E00" w:rsidRPr="003122A3" w:rsidRDefault="00050F7D" w:rsidP="00195523">
      <w:pPr>
        <w:jc w:val="center"/>
        <w:rPr>
          <w:rFonts w:ascii="Times New Roman" w:hAnsi="Times New Roman" w:cs="Times New Roman"/>
          <w:b/>
          <w:bCs/>
          <w:rtl/>
        </w:rPr>
      </w:pPr>
      <w:r w:rsidRPr="003122A3">
        <w:rPr>
          <w:rFonts w:ascii="Times New Roman" w:hAnsi="Times New Roman" w:cs="Times New Roman"/>
          <w:b/>
          <w:bCs/>
          <w:noProof/>
          <w:sz w:val="24"/>
          <w:szCs w:val="24"/>
        </w:rPr>
        <w:drawing>
          <wp:inline distT="0" distB="0" distL="0" distR="0">
            <wp:extent cx="5486400" cy="2160000"/>
            <wp:effectExtent l="19050" t="0" r="19050" b="0"/>
            <wp:docPr id="32"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50F7D" w:rsidRPr="003122A3" w:rsidRDefault="00050F7D" w:rsidP="00134346">
      <w:pPr>
        <w:rPr>
          <w:rFonts w:ascii="Times New Roman" w:hAnsi="Times New Roman" w:cs="Times New Roman"/>
          <w:sz w:val="18"/>
          <w:szCs w:val="18"/>
        </w:rPr>
      </w:pPr>
      <w:r w:rsidRPr="003122A3">
        <w:rPr>
          <w:rFonts w:ascii="Times New Roman" w:hAnsi="Times New Roman" w:cs="Times New Roman"/>
          <w:sz w:val="18"/>
          <w:szCs w:val="18"/>
        </w:rPr>
        <w:t xml:space="preserve">Source: Ministry of Education, State of Palestine. Monitoring and evaluation report of the Strategic Development Plan 2008-2012. </w:t>
      </w:r>
    </w:p>
    <w:p w:rsidR="009D1668" w:rsidRPr="003122A3" w:rsidRDefault="009D1668" w:rsidP="008E657F">
      <w:pPr>
        <w:jc w:val="both"/>
        <w:rPr>
          <w:rFonts w:ascii="Times New Roman" w:hAnsi="Times New Roman" w:cs="Times New Roman"/>
          <w:sz w:val="18"/>
          <w:szCs w:val="18"/>
        </w:rPr>
      </w:pPr>
    </w:p>
    <w:p w:rsidR="00195523" w:rsidRPr="003122A3" w:rsidRDefault="00195523" w:rsidP="008E657F">
      <w:pPr>
        <w:jc w:val="both"/>
        <w:rPr>
          <w:rFonts w:ascii="Times New Roman" w:hAnsi="Times New Roman" w:cs="Times New Roman"/>
          <w:sz w:val="18"/>
          <w:szCs w:val="18"/>
        </w:rPr>
      </w:pPr>
    </w:p>
    <w:p w:rsidR="00195523" w:rsidRPr="003122A3" w:rsidRDefault="00195523" w:rsidP="008E657F">
      <w:pPr>
        <w:jc w:val="both"/>
        <w:rPr>
          <w:rFonts w:ascii="Times New Roman" w:hAnsi="Times New Roman" w:cs="Times New Roman"/>
          <w:sz w:val="18"/>
          <w:szCs w:val="18"/>
          <w:rtl/>
        </w:rPr>
      </w:pPr>
    </w:p>
    <w:p w:rsidR="002E10D7" w:rsidRPr="003122A3" w:rsidRDefault="002E10D7" w:rsidP="008E657F">
      <w:pPr>
        <w:jc w:val="both"/>
        <w:rPr>
          <w:rFonts w:ascii="Times New Roman" w:hAnsi="Times New Roman" w:cs="Times New Roman"/>
          <w:sz w:val="18"/>
          <w:szCs w:val="18"/>
          <w:rtl/>
        </w:rPr>
      </w:pPr>
    </w:p>
    <w:p w:rsidR="00F0484E" w:rsidRPr="003122A3" w:rsidRDefault="008B239A" w:rsidP="008E657F">
      <w:pPr>
        <w:jc w:val="both"/>
        <w:rPr>
          <w:rFonts w:ascii="Times New Roman" w:hAnsi="Times New Roman" w:cs="Times New Roman"/>
          <w:sz w:val="24"/>
          <w:szCs w:val="24"/>
          <w:lang w:bidi="ar-EG"/>
        </w:rPr>
      </w:pPr>
      <w:bookmarkStart w:id="17" w:name="_Toc420244971"/>
      <w:r w:rsidRPr="003122A3">
        <w:rPr>
          <w:rStyle w:val="Heading2Char"/>
          <w:rFonts w:ascii="Times New Roman" w:hAnsi="Times New Roman" w:cs="Times New Roman"/>
          <w:sz w:val="24"/>
          <w:szCs w:val="24"/>
        </w:rPr>
        <w:t>3.2 Early Childhood Education</w:t>
      </w:r>
      <w:bookmarkEnd w:id="17"/>
      <w:r w:rsidRPr="003122A3">
        <w:rPr>
          <w:rFonts w:ascii="Times New Roman" w:hAnsi="Times New Roman" w:cs="Times New Roman"/>
          <w:bCs/>
          <w:sz w:val="24"/>
          <w:szCs w:val="24"/>
        </w:rPr>
        <w:t xml:space="preserve"> </w:t>
      </w:r>
      <w:r w:rsidR="00551256" w:rsidRPr="003122A3">
        <w:rPr>
          <w:rStyle w:val="FootnoteReference"/>
          <w:rFonts w:ascii="Times New Roman" w:hAnsi="Times New Roman" w:cs="Times New Roman"/>
          <w:b/>
          <w:sz w:val="24"/>
          <w:szCs w:val="24"/>
          <w:rtl/>
        </w:rPr>
        <w:footnoteReference w:id="15"/>
      </w:r>
    </w:p>
    <w:p w:rsidR="008B239A" w:rsidRDefault="008B239A" w:rsidP="005C227C">
      <w:pPr>
        <w:spacing w:after="0" w:line="240" w:lineRule="auto"/>
        <w:jc w:val="both"/>
        <w:rPr>
          <w:rFonts w:ascii="Times New Roman" w:hAnsi="Times New Roman" w:cs="Times New Roman"/>
          <w:sz w:val="24"/>
          <w:szCs w:val="24"/>
          <w:lang w:val="en-GB" w:bidi="ar-JO"/>
        </w:rPr>
      </w:pPr>
      <w:r w:rsidRPr="003122A3">
        <w:rPr>
          <w:rFonts w:ascii="Times New Roman" w:hAnsi="Times New Roman" w:cs="Times New Roman"/>
          <w:sz w:val="24"/>
          <w:szCs w:val="24"/>
          <w:lang w:val="en-GB" w:bidi="ar-JO"/>
        </w:rPr>
        <w:t xml:space="preserve">Pre-school education following a well-planned curriculum or educational program plays an important role in preparing children for school. 26.4% of children aging 36 to 59 months were </w:t>
      </w:r>
      <w:proofErr w:type="spellStart"/>
      <w:r w:rsidRPr="003122A3">
        <w:rPr>
          <w:rFonts w:ascii="Times New Roman" w:hAnsi="Times New Roman" w:cs="Times New Roman"/>
          <w:sz w:val="24"/>
          <w:szCs w:val="24"/>
          <w:lang w:val="en-GB" w:bidi="ar-JO"/>
        </w:rPr>
        <w:t>enrooled</w:t>
      </w:r>
      <w:proofErr w:type="spellEnd"/>
      <w:r w:rsidRPr="003122A3">
        <w:rPr>
          <w:rFonts w:ascii="Times New Roman" w:hAnsi="Times New Roman" w:cs="Times New Roman"/>
          <w:sz w:val="24"/>
          <w:szCs w:val="24"/>
          <w:lang w:val="en-GB" w:bidi="ar-JO"/>
        </w:rPr>
        <w:t xml:space="preserve"> in preschool education.</w:t>
      </w:r>
      <w:r w:rsidR="00AE3D88">
        <w:rPr>
          <w:rFonts w:ascii="Times New Roman" w:hAnsi="Times New Roman" w:cs="Times New Roman"/>
          <w:sz w:val="24"/>
          <w:szCs w:val="24"/>
          <w:lang w:val="en-GB" w:bidi="ar-JO"/>
        </w:rPr>
        <w:t xml:space="preserve">  </w:t>
      </w:r>
      <w:r w:rsidRPr="003122A3">
        <w:rPr>
          <w:rFonts w:ascii="Times New Roman" w:hAnsi="Times New Roman" w:cs="Times New Roman"/>
          <w:sz w:val="24"/>
          <w:szCs w:val="24"/>
          <w:lang w:val="en-GB" w:bidi="ar-JO"/>
        </w:rPr>
        <w:t xml:space="preserve">Differences were noticed according to age and geographic area. Regular attendance in kindergartens for children aging 36-47 months represented 8.2% of early childhood education population, compared to 45.5% for the age group 48-59 months. </w:t>
      </w:r>
      <w:proofErr w:type="spellStart"/>
      <w:r w:rsidRPr="003122A3">
        <w:rPr>
          <w:rFonts w:ascii="Times New Roman" w:hAnsi="Times New Roman" w:cs="Times New Roman"/>
          <w:sz w:val="24"/>
          <w:szCs w:val="24"/>
          <w:lang w:val="en-GB" w:bidi="ar-JO"/>
        </w:rPr>
        <w:t>Enrollemnt</w:t>
      </w:r>
      <w:proofErr w:type="spellEnd"/>
      <w:r w:rsidRPr="003122A3">
        <w:rPr>
          <w:rFonts w:ascii="Times New Roman" w:hAnsi="Times New Roman" w:cs="Times New Roman"/>
          <w:sz w:val="24"/>
          <w:szCs w:val="24"/>
          <w:lang w:val="en-GB" w:bidi="ar-JO"/>
        </w:rPr>
        <w:t xml:space="preserve"> in the West Bank was higher than the Gaza Strip, representing 27.2% and 25.5% respectively. Enrolment per geographic area was highest in </w:t>
      </w:r>
      <w:proofErr w:type="spellStart"/>
      <w:r w:rsidRPr="003122A3">
        <w:rPr>
          <w:rFonts w:ascii="Times New Roman" w:hAnsi="Times New Roman" w:cs="Times New Roman"/>
          <w:sz w:val="24"/>
          <w:szCs w:val="24"/>
          <w:lang w:val="en-GB" w:bidi="ar-JO"/>
        </w:rPr>
        <w:t>Salf</w:t>
      </w:r>
      <w:r w:rsidR="00134346" w:rsidRPr="003122A3">
        <w:rPr>
          <w:rFonts w:ascii="Times New Roman" w:hAnsi="Times New Roman" w:cs="Times New Roman"/>
          <w:sz w:val="24"/>
          <w:szCs w:val="24"/>
          <w:lang w:val="en-GB" w:bidi="ar-JO"/>
        </w:rPr>
        <w:t>i</w:t>
      </w:r>
      <w:r w:rsidRPr="003122A3">
        <w:rPr>
          <w:rFonts w:ascii="Times New Roman" w:hAnsi="Times New Roman" w:cs="Times New Roman"/>
          <w:sz w:val="24"/>
          <w:szCs w:val="24"/>
          <w:lang w:val="en-GB" w:bidi="ar-JO"/>
        </w:rPr>
        <w:t>t</w:t>
      </w:r>
      <w:proofErr w:type="spellEnd"/>
      <w:r w:rsidRPr="003122A3">
        <w:rPr>
          <w:rFonts w:ascii="Times New Roman" w:hAnsi="Times New Roman" w:cs="Times New Roman"/>
          <w:sz w:val="24"/>
          <w:szCs w:val="24"/>
          <w:lang w:val="en-GB" w:bidi="ar-JO"/>
        </w:rPr>
        <w:t xml:space="preserve"> and </w:t>
      </w:r>
      <w:proofErr w:type="spellStart"/>
      <w:r w:rsidRPr="003122A3">
        <w:rPr>
          <w:rFonts w:ascii="Times New Roman" w:hAnsi="Times New Roman" w:cs="Times New Roman"/>
          <w:sz w:val="24"/>
          <w:szCs w:val="24"/>
          <w:lang w:val="en-GB" w:bidi="ar-JO"/>
        </w:rPr>
        <w:t>Tulkarem</w:t>
      </w:r>
      <w:proofErr w:type="spellEnd"/>
      <w:r w:rsidRPr="003122A3">
        <w:rPr>
          <w:rFonts w:ascii="Times New Roman" w:hAnsi="Times New Roman" w:cs="Times New Roman"/>
          <w:sz w:val="24"/>
          <w:szCs w:val="24"/>
          <w:lang w:val="en-GB" w:bidi="ar-JO"/>
        </w:rPr>
        <w:t xml:space="preserve"> Governorates with an attendance rate of 4</w:t>
      </w:r>
      <w:r w:rsidR="00134346" w:rsidRPr="003122A3">
        <w:rPr>
          <w:rFonts w:ascii="Times New Roman" w:hAnsi="Times New Roman" w:cs="Times New Roman"/>
          <w:sz w:val="24"/>
          <w:szCs w:val="24"/>
          <w:lang w:val="en-GB" w:bidi="ar-JO"/>
        </w:rPr>
        <w:t>9</w:t>
      </w:r>
      <w:r w:rsidRPr="003122A3">
        <w:rPr>
          <w:rFonts w:ascii="Times New Roman" w:hAnsi="Times New Roman" w:cs="Times New Roman"/>
          <w:sz w:val="24"/>
          <w:szCs w:val="24"/>
          <w:lang w:val="en-GB" w:bidi="ar-JO"/>
        </w:rPr>
        <w:t>.0% each. The lowest enrolment rate was in Hebron Governorate with 11.0%. interestingly, enrolment was higher in rural areas with 31.0% in comparison to 25.</w:t>
      </w:r>
      <w:r w:rsidR="00134346" w:rsidRPr="003122A3">
        <w:rPr>
          <w:rFonts w:ascii="Times New Roman" w:hAnsi="Times New Roman" w:cs="Times New Roman"/>
          <w:sz w:val="24"/>
          <w:szCs w:val="24"/>
          <w:lang w:val="en-GB" w:bidi="ar-JO"/>
        </w:rPr>
        <w:t>7</w:t>
      </w:r>
      <w:r w:rsidRPr="003122A3">
        <w:rPr>
          <w:rFonts w:ascii="Times New Roman" w:hAnsi="Times New Roman" w:cs="Times New Roman"/>
          <w:sz w:val="24"/>
          <w:szCs w:val="24"/>
          <w:lang w:val="en-GB" w:bidi="ar-JO"/>
        </w:rPr>
        <w:t>% in urban areas. Minor differences were found with regard to gender, with 27.2% males and 25.6% females. Clear differences were apparent according to socio-economic status however. 39.4% for children from richer households, while it remained as low as 20.7% for children from poorer households.</w:t>
      </w:r>
    </w:p>
    <w:p w:rsidR="00CF5CE2" w:rsidRPr="003122A3" w:rsidRDefault="00CF5CE2" w:rsidP="00CF5CE2">
      <w:pPr>
        <w:spacing w:after="0" w:line="240" w:lineRule="auto"/>
        <w:jc w:val="both"/>
        <w:rPr>
          <w:rFonts w:ascii="Times New Roman" w:hAnsi="Times New Roman" w:cs="Times New Roman"/>
          <w:sz w:val="24"/>
          <w:szCs w:val="24"/>
          <w:rtl/>
          <w:lang w:val="en-GB" w:bidi="ar-JO"/>
        </w:rPr>
      </w:pPr>
    </w:p>
    <w:p w:rsidR="008B239A" w:rsidRPr="003122A3" w:rsidRDefault="0073447A" w:rsidP="00A6170A">
      <w:pPr>
        <w:pStyle w:val="Caption"/>
        <w:bidi w:val="0"/>
        <w:rPr>
          <w:sz w:val="22"/>
          <w:szCs w:val="24"/>
        </w:rPr>
      </w:pPr>
      <w:bookmarkStart w:id="18" w:name="_Toc420268217"/>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3</w:t>
      </w:r>
      <w:r w:rsidR="008F57C8" w:rsidRPr="003122A3">
        <w:rPr>
          <w:sz w:val="22"/>
          <w:szCs w:val="24"/>
        </w:rPr>
        <w:fldChar w:fldCharType="end"/>
      </w:r>
      <w:r w:rsidRPr="003122A3">
        <w:rPr>
          <w:sz w:val="22"/>
          <w:szCs w:val="24"/>
        </w:rPr>
        <w:t xml:space="preserve">: Percentage of Children Aged 36-59 Months Enrolled in some </w:t>
      </w:r>
      <w:r w:rsidR="00A6170A">
        <w:rPr>
          <w:sz w:val="22"/>
          <w:szCs w:val="24"/>
        </w:rPr>
        <w:t>F</w:t>
      </w:r>
      <w:r w:rsidRPr="003122A3">
        <w:rPr>
          <w:sz w:val="22"/>
          <w:szCs w:val="24"/>
        </w:rPr>
        <w:t>orm of Early Childhood Education Programs in Palestine by Various Background Characteristics, 2014</w:t>
      </w:r>
      <w:bookmarkEnd w:id="18"/>
    </w:p>
    <w:p w:rsidR="005D0CB7" w:rsidRPr="003122A3" w:rsidRDefault="005D0CB7" w:rsidP="005D0CB7">
      <w:pPr>
        <w:rPr>
          <w:rFonts w:ascii="Times New Roman" w:hAnsi="Times New Roman" w:cs="Times New Roman"/>
          <w:sz w:val="2"/>
          <w:szCs w:val="2"/>
        </w:rPr>
      </w:pPr>
    </w:p>
    <w:p w:rsidR="00F0484E" w:rsidRPr="003122A3" w:rsidRDefault="00F0484E" w:rsidP="00055EB0">
      <w:pPr>
        <w:jc w:val="center"/>
        <w:rPr>
          <w:rFonts w:ascii="Times New Roman" w:hAnsi="Times New Roman" w:cs="Times New Roman"/>
          <w:b/>
          <w:bCs/>
          <w:sz w:val="24"/>
          <w:szCs w:val="24"/>
          <w:rtl/>
          <w:lang w:val="en-GB"/>
        </w:rPr>
      </w:pPr>
      <w:r w:rsidRPr="003122A3">
        <w:rPr>
          <w:rFonts w:ascii="Times New Roman" w:hAnsi="Times New Roman" w:cs="Times New Roman"/>
          <w:b/>
          <w:bCs/>
          <w:noProof/>
          <w:sz w:val="24"/>
          <w:szCs w:val="24"/>
          <w:rtl/>
        </w:rPr>
        <w:drawing>
          <wp:inline distT="0" distB="0" distL="0" distR="0">
            <wp:extent cx="6115050" cy="2638425"/>
            <wp:effectExtent l="19050" t="0" r="19050" b="0"/>
            <wp:docPr id="84"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0484E" w:rsidRPr="003122A3" w:rsidRDefault="000B1D01" w:rsidP="008E657F">
      <w:pPr>
        <w:jc w:val="both"/>
        <w:rPr>
          <w:rFonts w:ascii="Times New Roman" w:hAnsi="Times New Roman" w:cs="Times New Roman"/>
          <w:sz w:val="18"/>
          <w:szCs w:val="18"/>
          <w:rtl/>
        </w:rPr>
      </w:pPr>
      <w:r w:rsidRPr="003122A3">
        <w:rPr>
          <w:rFonts w:ascii="Times New Roman" w:hAnsi="Times New Roman" w:cs="Times New Roman"/>
          <w:rtl/>
        </w:rPr>
        <w:t xml:space="preserve">           </w:t>
      </w:r>
    </w:p>
    <w:p w:rsidR="000B1D01" w:rsidRPr="003122A3" w:rsidRDefault="000B1D01" w:rsidP="008E657F">
      <w:pPr>
        <w:jc w:val="both"/>
        <w:rPr>
          <w:rFonts w:ascii="Times New Roman" w:hAnsi="Times New Roman" w:cs="Times New Roman"/>
          <w:b/>
          <w:bCs/>
          <w:sz w:val="24"/>
          <w:szCs w:val="24"/>
          <w:rtl/>
          <w:lang w:val="en-GB" w:bidi="ar-JO"/>
        </w:rPr>
      </w:pPr>
    </w:p>
    <w:p w:rsidR="004C59AB" w:rsidRPr="003122A3" w:rsidRDefault="004C59AB" w:rsidP="008E657F">
      <w:pPr>
        <w:jc w:val="both"/>
        <w:rPr>
          <w:rFonts w:ascii="Times New Roman" w:hAnsi="Times New Roman" w:cs="Times New Roman"/>
          <w:b/>
          <w:bCs/>
          <w:sz w:val="24"/>
          <w:szCs w:val="24"/>
          <w:rtl/>
          <w:lang w:val="en-GB" w:bidi="ar-JO"/>
        </w:rPr>
      </w:pPr>
    </w:p>
    <w:p w:rsidR="009C6AEE" w:rsidRPr="003122A3" w:rsidRDefault="009C6AEE" w:rsidP="008E657F">
      <w:pPr>
        <w:jc w:val="both"/>
        <w:rPr>
          <w:rFonts w:ascii="Times New Roman" w:hAnsi="Times New Roman" w:cs="Times New Roman"/>
          <w:b/>
          <w:bCs/>
          <w:sz w:val="24"/>
          <w:szCs w:val="24"/>
          <w:lang w:val="en-GB" w:bidi="ar-JO"/>
        </w:rPr>
      </w:pPr>
    </w:p>
    <w:p w:rsidR="00055EB0" w:rsidRDefault="00055EB0" w:rsidP="008E657F">
      <w:pPr>
        <w:jc w:val="both"/>
        <w:rPr>
          <w:rFonts w:ascii="Times New Roman" w:hAnsi="Times New Roman" w:cs="Times New Roman"/>
          <w:b/>
          <w:bCs/>
          <w:sz w:val="24"/>
          <w:szCs w:val="24"/>
          <w:lang w:val="en-GB" w:bidi="ar-JO"/>
        </w:rPr>
      </w:pPr>
    </w:p>
    <w:p w:rsidR="00CF5CE2" w:rsidRPr="003122A3" w:rsidRDefault="00CF5CE2" w:rsidP="008E657F">
      <w:pPr>
        <w:jc w:val="both"/>
        <w:rPr>
          <w:rFonts w:ascii="Times New Roman" w:hAnsi="Times New Roman" w:cs="Times New Roman"/>
          <w:b/>
          <w:bCs/>
          <w:sz w:val="24"/>
          <w:szCs w:val="24"/>
          <w:lang w:val="en-GB" w:bidi="ar-JO"/>
        </w:rPr>
      </w:pPr>
    </w:p>
    <w:p w:rsidR="005D0CB7" w:rsidRPr="003122A3" w:rsidRDefault="005D0CB7" w:rsidP="008E657F">
      <w:pPr>
        <w:jc w:val="both"/>
        <w:rPr>
          <w:rFonts w:ascii="Times New Roman" w:hAnsi="Times New Roman" w:cs="Times New Roman"/>
          <w:b/>
          <w:bCs/>
          <w:sz w:val="24"/>
          <w:szCs w:val="24"/>
          <w:lang w:val="en-GB" w:bidi="ar-JO"/>
        </w:rPr>
      </w:pPr>
    </w:p>
    <w:p w:rsidR="00055EB0" w:rsidRPr="003122A3" w:rsidRDefault="00055EB0" w:rsidP="008E657F">
      <w:pPr>
        <w:jc w:val="both"/>
        <w:rPr>
          <w:rFonts w:ascii="Times New Roman" w:hAnsi="Times New Roman" w:cs="Times New Roman"/>
          <w:b/>
          <w:bCs/>
          <w:sz w:val="24"/>
          <w:szCs w:val="24"/>
          <w:rtl/>
          <w:lang w:val="en-GB" w:bidi="ar-JO"/>
        </w:rPr>
      </w:pPr>
    </w:p>
    <w:p w:rsidR="00F0484E" w:rsidRPr="003122A3" w:rsidRDefault="0032054D" w:rsidP="00134346">
      <w:pPr>
        <w:pStyle w:val="Caption"/>
        <w:bidi w:val="0"/>
        <w:rPr>
          <w:b w:val="0"/>
          <w:bCs w:val="0"/>
          <w:sz w:val="22"/>
          <w:szCs w:val="22"/>
          <w:rtl/>
          <w:lang w:bidi="ar-JO"/>
        </w:rPr>
      </w:pPr>
      <w:bookmarkStart w:id="19" w:name="_Toc420268218"/>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4</w:t>
      </w:r>
      <w:r w:rsidR="008F57C8" w:rsidRPr="003122A3">
        <w:rPr>
          <w:sz w:val="22"/>
          <w:szCs w:val="24"/>
        </w:rPr>
        <w:fldChar w:fldCharType="end"/>
      </w:r>
      <w:r w:rsidRPr="003122A3">
        <w:rPr>
          <w:sz w:val="22"/>
          <w:szCs w:val="24"/>
        </w:rPr>
        <w:t>: Percentage of Children Aged 36-59 Months Enrolled in some form of Early Childhood Education Programs in Palestine by Wealth Index 201</w:t>
      </w:r>
      <w:bookmarkEnd w:id="19"/>
      <w:r w:rsidR="00134346" w:rsidRPr="003122A3">
        <w:rPr>
          <w:sz w:val="22"/>
          <w:szCs w:val="24"/>
        </w:rPr>
        <w:t>4</w:t>
      </w:r>
    </w:p>
    <w:p w:rsidR="00F0484E" w:rsidRPr="003122A3" w:rsidRDefault="00F0484E" w:rsidP="00055EB0">
      <w:pPr>
        <w:jc w:val="center"/>
        <w:rPr>
          <w:rFonts w:ascii="Times New Roman" w:hAnsi="Times New Roman" w:cs="Times New Roman"/>
          <w:b/>
          <w:bCs/>
          <w:sz w:val="24"/>
          <w:szCs w:val="24"/>
          <w:lang w:bidi="ar-JO"/>
        </w:rPr>
      </w:pPr>
      <w:r w:rsidRPr="003122A3">
        <w:rPr>
          <w:rFonts w:ascii="Times New Roman" w:hAnsi="Times New Roman" w:cs="Times New Roman"/>
          <w:b/>
          <w:bCs/>
          <w:noProof/>
          <w:sz w:val="24"/>
          <w:szCs w:val="24"/>
          <w:rtl/>
        </w:rPr>
        <w:drawing>
          <wp:inline distT="0" distB="0" distL="0" distR="0">
            <wp:extent cx="5509674" cy="2051436"/>
            <wp:effectExtent l="19050" t="0" r="14826" b="5964"/>
            <wp:docPr id="85"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C14D9" w:rsidRDefault="006C14D9" w:rsidP="00BB30E7">
      <w:pPr>
        <w:spacing w:after="0" w:line="240" w:lineRule="auto"/>
        <w:jc w:val="both"/>
        <w:rPr>
          <w:rStyle w:val="hps"/>
          <w:rFonts w:ascii="Times New Roman" w:hAnsi="Times New Roman" w:cs="Times New Roman"/>
          <w:color w:val="222222"/>
          <w:sz w:val="18"/>
          <w:szCs w:val="18"/>
        </w:rPr>
      </w:pPr>
      <w:r>
        <w:rPr>
          <w:rStyle w:val="hps"/>
          <w:rFonts w:ascii="Times New Roman" w:hAnsi="Times New Roman" w:cs="Times New Roman"/>
          <w:color w:val="222222"/>
          <w:sz w:val="18"/>
          <w:szCs w:val="18"/>
        </w:rPr>
        <w:t xml:space="preserve">           </w:t>
      </w:r>
    </w:p>
    <w:p w:rsidR="006C14D9" w:rsidRPr="006C14D9" w:rsidRDefault="006C14D9" w:rsidP="00CF5CE2">
      <w:pPr>
        <w:spacing w:after="0" w:line="240" w:lineRule="auto"/>
        <w:jc w:val="both"/>
        <w:rPr>
          <w:rFonts w:ascii="Times New Roman" w:hAnsi="Times New Roman" w:cs="Times New Roman"/>
          <w:sz w:val="24"/>
          <w:szCs w:val="24"/>
          <w:lang w:bidi="ar-EG"/>
        </w:rPr>
      </w:pPr>
    </w:p>
    <w:p w:rsidR="008B239A" w:rsidRPr="003122A3" w:rsidRDefault="008B239A" w:rsidP="00B27A39">
      <w:pPr>
        <w:spacing w:after="0" w:line="240" w:lineRule="auto"/>
        <w:jc w:val="both"/>
        <w:rPr>
          <w:rFonts w:ascii="Times New Roman" w:hAnsi="Times New Roman" w:cs="Times New Roman"/>
          <w:sz w:val="24"/>
          <w:szCs w:val="24"/>
          <w:lang w:bidi="ar-EG"/>
        </w:rPr>
      </w:pPr>
      <w:r w:rsidRPr="003122A3">
        <w:rPr>
          <w:rFonts w:ascii="Times New Roman" w:hAnsi="Times New Roman" w:cs="Times New Roman"/>
          <w:sz w:val="24"/>
          <w:szCs w:val="24"/>
          <w:lang w:bidi="ar-EG"/>
        </w:rPr>
        <w:t xml:space="preserve">According to data from the Ministry of Education for 2012/2013, the average number of preschool* students per class was 22.3 in the West Bank and 26.9 </w:t>
      </w:r>
      <w:r w:rsidR="00A91E3A">
        <w:rPr>
          <w:rFonts w:ascii="Times New Roman" w:hAnsi="Times New Roman" w:cs="Times New Roman"/>
          <w:sz w:val="24"/>
          <w:szCs w:val="24"/>
          <w:lang w:bidi="ar-EG"/>
        </w:rPr>
        <w:t>in Gaza Strip</w:t>
      </w:r>
      <w:r w:rsidRPr="003122A3">
        <w:rPr>
          <w:rFonts w:ascii="Times New Roman" w:hAnsi="Times New Roman" w:cs="Times New Roman"/>
          <w:sz w:val="24"/>
          <w:szCs w:val="24"/>
          <w:lang w:bidi="ar-EG"/>
        </w:rPr>
        <w:t>. The average number of students per teacher in the West Bank was 12.0 in comparison to 17.0 in Gaza Strip</w:t>
      </w:r>
      <w:r w:rsidR="00B27A39">
        <w:rPr>
          <w:rFonts w:ascii="Times New Roman" w:hAnsi="Times New Roman" w:cs="Times New Roman"/>
          <w:sz w:val="24"/>
          <w:szCs w:val="24"/>
          <w:lang w:bidi="ar-EG"/>
        </w:rPr>
        <w:t>.</w:t>
      </w:r>
    </w:p>
    <w:p w:rsidR="00055EB0" w:rsidRPr="003122A3" w:rsidRDefault="00055EB0" w:rsidP="00055EB0">
      <w:pPr>
        <w:jc w:val="both"/>
        <w:rPr>
          <w:rFonts w:ascii="Times New Roman" w:hAnsi="Times New Roman" w:cs="Times New Roman"/>
          <w:sz w:val="24"/>
          <w:szCs w:val="24"/>
          <w:rtl/>
          <w:lang w:bidi="ar-EG"/>
        </w:rPr>
      </w:pPr>
    </w:p>
    <w:p w:rsidR="0032054D" w:rsidRPr="003122A3" w:rsidRDefault="0032054D" w:rsidP="00DA7D7F">
      <w:pPr>
        <w:pStyle w:val="Caption"/>
        <w:bidi w:val="0"/>
        <w:rPr>
          <w:sz w:val="22"/>
          <w:szCs w:val="24"/>
        </w:rPr>
      </w:pPr>
      <w:bookmarkStart w:id="20" w:name="_Toc420268219"/>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5</w:t>
      </w:r>
      <w:r w:rsidR="008F57C8" w:rsidRPr="003122A3">
        <w:rPr>
          <w:sz w:val="22"/>
          <w:szCs w:val="24"/>
        </w:rPr>
        <w:fldChar w:fldCharType="end"/>
      </w:r>
      <w:r w:rsidRPr="003122A3">
        <w:rPr>
          <w:sz w:val="22"/>
          <w:szCs w:val="24"/>
        </w:rPr>
        <w:t>: Enrollment Rates in Early Childhood Education</w:t>
      </w:r>
      <w:r w:rsidR="005C227C">
        <w:rPr>
          <w:sz w:val="22"/>
          <w:szCs w:val="24"/>
        </w:rPr>
        <w:t xml:space="preserve"> (4-5 </w:t>
      </w:r>
      <w:r w:rsidR="00DA7D7F">
        <w:rPr>
          <w:sz w:val="22"/>
          <w:szCs w:val="24"/>
        </w:rPr>
        <w:t>Y</w:t>
      </w:r>
      <w:r w:rsidR="005C227C">
        <w:rPr>
          <w:sz w:val="22"/>
          <w:szCs w:val="24"/>
        </w:rPr>
        <w:t>ears)</w:t>
      </w:r>
      <w:r w:rsidRPr="003122A3">
        <w:rPr>
          <w:sz w:val="22"/>
          <w:szCs w:val="24"/>
        </w:rPr>
        <w:t xml:space="preserve"> by </w:t>
      </w:r>
      <w:r w:rsidR="00134346" w:rsidRPr="003122A3">
        <w:rPr>
          <w:sz w:val="22"/>
          <w:szCs w:val="24"/>
        </w:rPr>
        <w:t>Sex</w:t>
      </w:r>
      <w:r w:rsidRPr="003122A3">
        <w:rPr>
          <w:sz w:val="22"/>
          <w:szCs w:val="24"/>
        </w:rPr>
        <w:t xml:space="preserve"> for Selected </w:t>
      </w:r>
      <w:r w:rsidR="005C227C">
        <w:rPr>
          <w:sz w:val="22"/>
          <w:szCs w:val="24"/>
        </w:rPr>
        <w:t>Academic</w:t>
      </w:r>
      <w:r w:rsidRPr="003122A3">
        <w:rPr>
          <w:sz w:val="22"/>
          <w:szCs w:val="24"/>
        </w:rPr>
        <w:t xml:space="preserve"> Years</w:t>
      </w:r>
      <w:bookmarkEnd w:id="20"/>
    </w:p>
    <w:p w:rsidR="00350DA8" w:rsidRPr="003122A3" w:rsidRDefault="00350DA8" w:rsidP="00055EB0">
      <w:pPr>
        <w:pStyle w:val="Caption"/>
        <w:bidi w:val="0"/>
        <w:rPr>
          <w:b w:val="0"/>
          <w:bCs w:val="0"/>
          <w:szCs w:val="24"/>
          <w:rtl/>
          <w:lang w:bidi="ar-EG"/>
        </w:rPr>
      </w:pPr>
      <w:r w:rsidRPr="003122A3">
        <w:rPr>
          <w:b w:val="0"/>
          <w:bCs w:val="0"/>
          <w:szCs w:val="24"/>
          <w:rtl/>
        </w:rPr>
        <w:drawing>
          <wp:inline distT="0" distB="0" distL="0" distR="0">
            <wp:extent cx="5674995" cy="2190750"/>
            <wp:effectExtent l="19050" t="0" r="20955" b="0"/>
            <wp:docPr id="2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74470" w:rsidRPr="003122A3" w:rsidRDefault="00055EB0" w:rsidP="008E657F">
      <w:pPr>
        <w:jc w:val="both"/>
        <w:rPr>
          <w:rFonts w:ascii="Times New Roman" w:hAnsi="Times New Roman" w:cs="Times New Roman"/>
          <w:sz w:val="10"/>
          <w:szCs w:val="10"/>
          <w:rtl/>
          <w:lang w:bidi="ar-JO"/>
        </w:rPr>
      </w:pPr>
      <w:r w:rsidRPr="003122A3">
        <w:rPr>
          <w:rFonts w:ascii="Times New Roman" w:hAnsi="Times New Roman" w:cs="Times New Roman"/>
          <w:sz w:val="18"/>
          <w:szCs w:val="18"/>
        </w:rPr>
        <w:t xml:space="preserve">        </w:t>
      </w:r>
      <w:r w:rsidR="001F06B2" w:rsidRPr="003122A3">
        <w:rPr>
          <w:rFonts w:ascii="Times New Roman" w:hAnsi="Times New Roman" w:cs="Times New Roman"/>
          <w:sz w:val="18"/>
          <w:szCs w:val="18"/>
        </w:rPr>
        <w:t>Source: Education Database, General Directorate of Planning, Ministry of Education</w:t>
      </w:r>
      <w:r w:rsidR="009C6AEE" w:rsidRPr="003122A3">
        <w:rPr>
          <w:rFonts w:ascii="Times New Roman" w:hAnsi="Times New Roman" w:cs="Times New Roman"/>
          <w:sz w:val="18"/>
          <w:szCs w:val="18"/>
          <w:rtl/>
        </w:rPr>
        <w:t>.</w:t>
      </w:r>
    </w:p>
    <w:p w:rsidR="008B239A" w:rsidRPr="003122A3" w:rsidRDefault="008B239A" w:rsidP="00CF5CE2">
      <w:pPr>
        <w:spacing w:after="0" w:line="240" w:lineRule="auto"/>
        <w:jc w:val="both"/>
        <w:rPr>
          <w:rFonts w:ascii="Times New Roman" w:hAnsi="Times New Roman" w:cs="Times New Roman"/>
          <w:sz w:val="24"/>
          <w:szCs w:val="24"/>
          <w:rtl/>
          <w:lang w:bidi="ar-EG"/>
        </w:rPr>
      </w:pPr>
      <w:r w:rsidRPr="003122A3">
        <w:rPr>
          <w:rFonts w:ascii="Times New Roman" w:hAnsi="Times New Roman" w:cs="Times New Roman"/>
          <w:sz w:val="24"/>
          <w:szCs w:val="24"/>
          <w:lang w:bidi="ar-EG"/>
        </w:rPr>
        <w:t xml:space="preserve">Differences in enrollment in early childhood education by </w:t>
      </w:r>
      <w:r w:rsidR="00134346" w:rsidRPr="003122A3">
        <w:rPr>
          <w:rFonts w:ascii="Times New Roman" w:hAnsi="Times New Roman" w:cs="Times New Roman"/>
          <w:sz w:val="24"/>
          <w:szCs w:val="24"/>
          <w:lang w:bidi="ar-EG"/>
        </w:rPr>
        <w:t>sex</w:t>
      </w:r>
      <w:r w:rsidRPr="003122A3">
        <w:rPr>
          <w:rFonts w:ascii="Times New Roman" w:hAnsi="Times New Roman" w:cs="Times New Roman"/>
          <w:sz w:val="24"/>
          <w:szCs w:val="24"/>
          <w:lang w:bidi="ar-EG"/>
        </w:rPr>
        <w:t xml:space="preserve"> were minimal, but higher between the West Bank and Gaza. Overall, there is a trend emerging that supports an increase in enrollment in early childhood and an increase in the number of licensed preschool programs due to strict follow-up by the Ministry of Education.</w:t>
      </w:r>
    </w:p>
    <w:p w:rsidR="00A84B6D" w:rsidRPr="003122A3" w:rsidRDefault="00A84B6D" w:rsidP="008E657F">
      <w:pPr>
        <w:jc w:val="both"/>
        <w:rPr>
          <w:rFonts w:ascii="Times New Roman" w:hAnsi="Times New Roman" w:cs="Times New Roman"/>
          <w:sz w:val="24"/>
          <w:szCs w:val="24"/>
          <w:rtl/>
          <w:lang w:bidi="ar-JO"/>
        </w:rPr>
      </w:pPr>
    </w:p>
    <w:p w:rsidR="004C59AB" w:rsidRPr="003122A3" w:rsidRDefault="004C59AB" w:rsidP="008E657F">
      <w:pPr>
        <w:jc w:val="both"/>
        <w:rPr>
          <w:rFonts w:ascii="Times New Roman" w:hAnsi="Times New Roman" w:cs="Times New Roman"/>
          <w:sz w:val="24"/>
          <w:szCs w:val="24"/>
          <w:rtl/>
          <w:lang w:bidi="ar-JO"/>
        </w:rPr>
      </w:pPr>
    </w:p>
    <w:p w:rsidR="00055EB0" w:rsidRPr="003122A3" w:rsidRDefault="00055EB0" w:rsidP="0032054D">
      <w:pPr>
        <w:pStyle w:val="Caption"/>
        <w:bidi w:val="0"/>
        <w:jc w:val="both"/>
      </w:pPr>
      <w:bookmarkStart w:id="21" w:name="_Toc420268220"/>
    </w:p>
    <w:p w:rsidR="00055EB0" w:rsidRPr="003122A3" w:rsidRDefault="00055EB0" w:rsidP="00055EB0">
      <w:pPr>
        <w:pStyle w:val="Caption"/>
        <w:bidi w:val="0"/>
        <w:jc w:val="both"/>
      </w:pPr>
    </w:p>
    <w:p w:rsidR="00055EB0" w:rsidRPr="003122A3" w:rsidRDefault="00055EB0" w:rsidP="00055EB0">
      <w:pPr>
        <w:pStyle w:val="Caption"/>
        <w:bidi w:val="0"/>
        <w:jc w:val="both"/>
      </w:pPr>
    </w:p>
    <w:p w:rsidR="00446841" w:rsidRDefault="00446841" w:rsidP="00446841">
      <w:pPr>
        <w:rPr>
          <w:rFonts w:ascii="Times New Roman" w:hAnsi="Times New Roman" w:cs="Times New Roman"/>
        </w:rPr>
      </w:pPr>
    </w:p>
    <w:p w:rsidR="00CF5CE2" w:rsidRDefault="00BB30E7" w:rsidP="00446841">
      <w:pPr>
        <w:rPr>
          <w:rFonts w:ascii="Times New Roman" w:hAnsi="Times New Roman" w:cs="Times New Roman"/>
        </w:rPr>
      </w:pPr>
      <w:r>
        <w:rPr>
          <w:rStyle w:val="hps"/>
          <w:rFonts w:ascii="Times New Roman" w:hAnsi="Times New Roman" w:cs="Times New Roman"/>
          <w:color w:val="222222"/>
          <w:sz w:val="18"/>
          <w:szCs w:val="18"/>
        </w:rPr>
        <w:t>*</w:t>
      </w:r>
      <w:r w:rsidRPr="006C14D9">
        <w:rPr>
          <w:rStyle w:val="hps"/>
          <w:rFonts w:ascii="Times New Roman" w:hAnsi="Times New Roman" w:cs="Times New Roman"/>
          <w:color w:val="222222"/>
          <w:sz w:val="18"/>
          <w:szCs w:val="18"/>
        </w:rPr>
        <w:t>Kindergarten</w:t>
      </w:r>
      <w:r w:rsidRPr="006C14D9">
        <w:rPr>
          <w:rFonts w:ascii="Times New Roman" w:hAnsi="Times New Roman" w:cs="Times New Roman"/>
          <w:color w:val="222222"/>
          <w:sz w:val="18"/>
          <w:szCs w:val="18"/>
        </w:rPr>
        <w:t xml:space="preserve"> </w:t>
      </w:r>
      <w:r w:rsidRPr="006C14D9">
        <w:rPr>
          <w:rStyle w:val="hps"/>
          <w:rFonts w:ascii="Times New Roman" w:hAnsi="Times New Roman" w:cs="Times New Roman"/>
          <w:color w:val="222222"/>
          <w:sz w:val="18"/>
          <w:szCs w:val="18"/>
        </w:rPr>
        <w:t>is a</w:t>
      </w:r>
      <w:r w:rsidRPr="006C14D9">
        <w:rPr>
          <w:rFonts w:ascii="Times New Roman" w:hAnsi="Times New Roman" w:cs="Times New Roman"/>
          <w:color w:val="222222"/>
          <w:sz w:val="18"/>
          <w:szCs w:val="18"/>
        </w:rPr>
        <w:t xml:space="preserve"> </w:t>
      </w:r>
      <w:r w:rsidRPr="006C14D9">
        <w:rPr>
          <w:rStyle w:val="hps"/>
          <w:rFonts w:ascii="Times New Roman" w:hAnsi="Times New Roman" w:cs="Times New Roman"/>
          <w:color w:val="222222"/>
          <w:sz w:val="18"/>
          <w:szCs w:val="18"/>
        </w:rPr>
        <w:t>licensed</w:t>
      </w:r>
      <w:r w:rsidRPr="006C14D9">
        <w:rPr>
          <w:rFonts w:ascii="Times New Roman" w:hAnsi="Times New Roman" w:cs="Times New Roman"/>
          <w:color w:val="222222"/>
          <w:sz w:val="18"/>
          <w:szCs w:val="18"/>
        </w:rPr>
        <w:t xml:space="preserve"> </w:t>
      </w:r>
      <w:r w:rsidRPr="006C14D9">
        <w:rPr>
          <w:rStyle w:val="hps"/>
          <w:rFonts w:ascii="Times New Roman" w:hAnsi="Times New Roman" w:cs="Times New Roman"/>
          <w:color w:val="222222"/>
          <w:sz w:val="18"/>
          <w:szCs w:val="18"/>
        </w:rPr>
        <w:t>and</w:t>
      </w:r>
      <w:r w:rsidRPr="006C14D9">
        <w:rPr>
          <w:rFonts w:ascii="Times New Roman" w:hAnsi="Times New Roman" w:cs="Times New Roman"/>
          <w:color w:val="222222"/>
          <w:sz w:val="18"/>
          <w:szCs w:val="18"/>
        </w:rPr>
        <w:t xml:space="preserve"> </w:t>
      </w:r>
      <w:r w:rsidRPr="006C14D9">
        <w:rPr>
          <w:rStyle w:val="hps"/>
          <w:rFonts w:ascii="Times New Roman" w:hAnsi="Times New Roman" w:cs="Times New Roman"/>
          <w:color w:val="222222"/>
          <w:sz w:val="18"/>
          <w:szCs w:val="18"/>
        </w:rPr>
        <w:t>registered with the Ministry</w:t>
      </w:r>
      <w:r w:rsidRPr="006C14D9">
        <w:rPr>
          <w:rFonts w:ascii="Times New Roman" w:hAnsi="Times New Roman" w:cs="Times New Roman"/>
          <w:color w:val="222222"/>
          <w:sz w:val="18"/>
          <w:szCs w:val="18"/>
        </w:rPr>
        <w:t xml:space="preserve"> </w:t>
      </w:r>
      <w:r w:rsidRPr="006C14D9">
        <w:rPr>
          <w:rStyle w:val="hps"/>
          <w:rFonts w:ascii="Times New Roman" w:hAnsi="Times New Roman" w:cs="Times New Roman"/>
          <w:color w:val="222222"/>
          <w:sz w:val="18"/>
          <w:szCs w:val="18"/>
        </w:rPr>
        <w:t>of Education</w:t>
      </w:r>
    </w:p>
    <w:p w:rsidR="00BC43BB" w:rsidRPr="003122A3" w:rsidRDefault="0032054D" w:rsidP="00A730A0">
      <w:pPr>
        <w:pStyle w:val="Caption"/>
        <w:bidi w:val="0"/>
        <w:rPr>
          <w:b w:val="0"/>
          <w:bCs w:val="0"/>
          <w:szCs w:val="24"/>
          <w:rtl/>
          <w:lang w:bidi="ar-JO"/>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6</w:t>
      </w:r>
      <w:r w:rsidR="008F57C8" w:rsidRPr="003122A3">
        <w:rPr>
          <w:sz w:val="22"/>
          <w:szCs w:val="24"/>
        </w:rPr>
        <w:fldChar w:fldCharType="end"/>
      </w:r>
      <w:r w:rsidRPr="003122A3">
        <w:rPr>
          <w:sz w:val="22"/>
          <w:szCs w:val="24"/>
        </w:rPr>
        <w:t xml:space="preserve">: Enrollment Rates in Kindergartens in Selected </w:t>
      </w:r>
      <w:r w:rsidR="00A730A0">
        <w:rPr>
          <w:sz w:val="22"/>
          <w:szCs w:val="24"/>
        </w:rPr>
        <w:t>Academic</w:t>
      </w:r>
      <w:r w:rsidRPr="003122A3">
        <w:rPr>
          <w:sz w:val="22"/>
          <w:szCs w:val="24"/>
        </w:rPr>
        <w:t xml:space="preserve"> Years by Region</w:t>
      </w:r>
      <w:bookmarkEnd w:id="21"/>
    </w:p>
    <w:p w:rsidR="00957897" w:rsidRPr="003122A3" w:rsidRDefault="00957897" w:rsidP="00055EB0">
      <w:pPr>
        <w:jc w:val="center"/>
        <w:rPr>
          <w:rFonts w:ascii="Times New Roman" w:hAnsi="Times New Roman" w:cs="Times New Roman"/>
          <w:sz w:val="24"/>
          <w:szCs w:val="24"/>
          <w:rtl/>
          <w:lang w:bidi="ar-JO"/>
        </w:rPr>
      </w:pPr>
      <w:r w:rsidRPr="003122A3">
        <w:rPr>
          <w:rFonts w:ascii="Times New Roman" w:hAnsi="Times New Roman" w:cs="Times New Roman"/>
          <w:noProof/>
          <w:sz w:val="24"/>
          <w:szCs w:val="24"/>
          <w:rtl/>
        </w:rPr>
        <w:drawing>
          <wp:inline distT="0" distB="0" distL="0" distR="0">
            <wp:extent cx="5482805" cy="1949569"/>
            <wp:effectExtent l="19050" t="0" r="2264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B16303" w:rsidRPr="003122A3" w:rsidRDefault="000120AC" w:rsidP="008E657F">
      <w:pPr>
        <w:jc w:val="both"/>
        <w:rPr>
          <w:rFonts w:ascii="Times New Roman" w:hAnsi="Times New Roman" w:cs="Times New Roman"/>
          <w:sz w:val="18"/>
          <w:szCs w:val="18"/>
          <w:rtl/>
        </w:rPr>
      </w:pPr>
      <w:r w:rsidRPr="003122A3">
        <w:rPr>
          <w:rFonts w:ascii="Times New Roman" w:hAnsi="Times New Roman" w:cs="Times New Roman"/>
          <w:sz w:val="18"/>
          <w:szCs w:val="18"/>
          <w:rtl/>
        </w:rPr>
        <w:t xml:space="preserve"> </w:t>
      </w:r>
      <w:r w:rsidR="00B50C47" w:rsidRPr="003122A3">
        <w:rPr>
          <w:rFonts w:ascii="Times New Roman" w:hAnsi="Times New Roman" w:cs="Times New Roman"/>
          <w:sz w:val="18"/>
          <w:szCs w:val="18"/>
          <w:rtl/>
        </w:rPr>
        <w:t xml:space="preserve"> </w:t>
      </w:r>
      <w:r w:rsidR="00AE3D88">
        <w:rPr>
          <w:rFonts w:ascii="Times New Roman" w:hAnsi="Times New Roman" w:cs="Times New Roman"/>
          <w:sz w:val="18"/>
          <w:szCs w:val="18"/>
        </w:rPr>
        <w:t xml:space="preserve">   </w:t>
      </w:r>
      <w:r w:rsidR="00B50C47" w:rsidRPr="003122A3">
        <w:rPr>
          <w:rFonts w:ascii="Times New Roman" w:hAnsi="Times New Roman" w:cs="Times New Roman"/>
          <w:sz w:val="18"/>
          <w:szCs w:val="18"/>
          <w:rtl/>
        </w:rPr>
        <w:t xml:space="preserve">    </w:t>
      </w:r>
      <w:r w:rsidR="00F878E6" w:rsidRPr="003122A3">
        <w:rPr>
          <w:rFonts w:ascii="Times New Roman" w:hAnsi="Times New Roman" w:cs="Times New Roman"/>
          <w:sz w:val="18"/>
          <w:szCs w:val="18"/>
          <w:rtl/>
        </w:rPr>
        <w:t xml:space="preserve">  </w:t>
      </w:r>
      <w:r w:rsidRPr="003122A3">
        <w:rPr>
          <w:rFonts w:ascii="Times New Roman" w:hAnsi="Times New Roman" w:cs="Times New Roman"/>
          <w:sz w:val="18"/>
          <w:szCs w:val="18"/>
          <w:rtl/>
        </w:rPr>
        <w:t xml:space="preserve"> </w:t>
      </w:r>
      <w:r w:rsidR="008B239A" w:rsidRPr="003122A3">
        <w:rPr>
          <w:rFonts w:ascii="Times New Roman" w:hAnsi="Times New Roman" w:cs="Times New Roman"/>
          <w:sz w:val="18"/>
          <w:szCs w:val="18"/>
        </w:rPr>
        <w:t xml:space="preserve">Source: Educational database: General Administration of Planning, Ministry of </w:t>
      </w:r>
      <w:proofErr w:type="spellStart"/>
      <w:r w:rsidR="008B239A" w:rsidRPr="003122A3">
        <w:rPr>
          <w:rFonts w:ascii="Times New Roman" w:hAnsi="Times New Roman" w:cs="Times New Roman"/>
          <w:sz w:val="18"/>
          <w:szCs w:val="18"/>
        </w:rPr>
        <w:t>Ecucation</w:t>
      </w:r>
      <w:proofErr w:type="spellEnd"/>
      <w:r w:rsidR="008B239A" w:rsidRPr="003122A3">
        <w:rPr>
          <w:rFonts w:ascii="Times New Roman" w:hAnsi="Times New Roman" w:cs="Times New Roman"/>
          <w:sz w:val="18"/>
          <w:szCs w:val="18"/>
        </w:rPr>
        <w:t>.</w:t>
      </w:r>
    </w:p>
    <w:p w:rsidR="00D1104C" w:rsidRPr="003122A3" w:rsidRDefault="008123B9"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3.3 Enrollment Rates</w:t>
      </w:r>
      <w:r w:rsidR="00D1104C" w:rsidRPr="003122A3">
        <w:rPr>
          <w:rStyle w:val="FootnoteReference"/>
          <w:rFonts w:ascii="Times New Roman" w:hAnsi="Times New Roman" w:cs="Times New Roman"/>
          <w:sz w:val="24"/>
          <w:szCs w:val="24"/>
          <w:rtl/>
        </w:rPr>
        <w:footnoteReference w:id="16"/>
      </w:r>
      <w:r w:rsidR="00D1104C" w:rsidRPr="003122A3">
        <w:rPr>
          <w:rFonts w:ascii="Times New Roman" w:hAnsi="Times New Roman" w:cs="Times New Roman"/>
          <w:sz w:val="24"/>
          <w:szCs w:val="24"/>
          <w:rtl/>
        </w:rPr>
        <w:t xml:space="preserve"> </w:t>
      </w:r>
    </w:p>
    <w:p w:rsidR="008123B9" w:rsidRDefault="008123B9"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Calculations of enrollment are based largely on population estimates and projections, with Israeli statistics used in the case of Jerusalem, and are therefore subject to change. Enrollment rates are relatively high in Palestine and may be higher than calculated due to difficulties of estimating population which have arisen through the political division of the West Bank, the Gaza Strip and East Jerusalem. For example, among those who are registered and hold Palestinian identity a considerable number live abroad. In addition, there have been problems with the registration of births and deaths.</w:t>
      </w:r>
    </w:p>
    <w:p w:rsidR="00CF5CE2" w:rsidRPr="003122A3" w:rsidRDefault="00CF5CE2" w:rsidP="00CF5CE2">
      <w:pPr>
        <w:spacing w:after="0" w:line="240" w:lineRule="auto"/>
        <w:jc w:val="both"/>
        <w:rPr>
          <w:rFonts w:ascii="Times New Roman" w:hAnsi="Times New Roman" w:cs="Times New Roman"/>
          <w:sz w:val="24"/>
          <w:szCs w:val="24"/>
        </w:rPr>
      </w:pPr>
    </w:p>
    <w:p w:rsidR="008123B9" w:rsidRDefault="008123B9"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In general, female enrollment in secondary level education is higher than that of males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compared to the West Bank. Enrolment </w:t>
      </w:r>
      <w:r w:rsidR="00134346" w:rsidRPr="003122A3">
        <w:rPr>
          <w:rFonts w:ascii="Times New Roman" w:hAnsi="Times New Roman" w:cs="Times New Roman"/>
          <w:sz w:val="24"/>
          <w:szCs w:val="24"/>
        </w:rPr>
        <w:t>b</w:t>
      </w:r>
      <w:r w:rsidRPr="003122A3">
        <w:rPr>
          <w:rFonts w:ascii="Times New Roman" w:hAnsi="Times New Roman" w:cs="Times New Roman"/>
          <w:sz w:val="24"/>
          <w:szCs w:val="24"/>
        </w:rPr>
        <w:t xml:space="preserve">y both </w:t>
      </w:r>
      <w:r w:rsidR="00134346" w:rsidRPr="003122A3">
        <w:rPr>
          <w:rFonts w:ascii="Times New Roman" w:hAnsi="Times New Roman" w:cs="Times New Roman"/>
          <w:sz w:val="24"/>
          <w:szCs w:val="24"/>
        </w:rPr>
        <w:t>sexes</w:t>
      </w:r>
      <w:r w:rsidRPr="003122A3">
        <w:rPr>
          <w:rFonts w:ascii="Times New Roman" w:hAnsi="Times New Roman" w:cs="Times New Roman"/>
          <w:sz w:val="24"/>
          <w:szCs w:val="24"/>
        </w:rPr>
        <w:t xml:space="preserve"> in basic education is higher than secondary level education. In the academic year 2013/2014, there was a relative decline in </w:t>
      </w:r>
      <w:r w:rsidR="00134346" w:rsidRPr="003122A3">
        <w:rPr>
          <w:rFonts w:ascii="Times New Roman" w:hAnsi="Times New Roman" w:cs="Times New Roman"/>
          <w:sz w:val="24"/>
          <w:szCs w:val="24"/>
        </w:rPr>
        <w:t>e</w:t>
      </w:r>
      <w:r w:rsidRPr="003122A3">
        <w:rPr>
          <w:rFonts w:ascii="Times New Roman" w:hAnsi="Times New Roman" w:cs="Times New Roman"/>
          <w:sz w:val="24"/>
          <w:szCs w:val="24"/>
        </w:rPr>
        <w:t>nrollment rates by males in the basic education compared with the academic year 2007/2008. Generally speaking, enrollment rates changes are minor and are affected by population estimates and marginal statistical errors.</w:t>
      </w:r>
      <w:r w:rsidR="00DA7D7F">
        <w:rPr>
          <w:rFonts w:ascii="Times New Roman" w:hAnsi="Times New Roman" w:cs="Times New Roman"/>
          <w:sz w:val="24"/>
          <w:szCs w:val="24"/>
        </w:rPr>
        <w:t xml:space="preserve"> </w:t>
      </w:r>
      <w:r w:rsidRPr="003122A3">
        <w:rPr>
          <w:rFonts w:ascii="Times New Roman" w:hAnsi="Times New Roman" w:cs="Times New Roman"/>
          <w:sz w:val="24"/>
          <w:szCs w:val="24"/>
        </w:rPr>
        <w:t xml:space="preserve"> Total enrollment in preschool rose among both males and females to exceed 50%</w:t>
      </w:r>
      <w:r w:rsidR="00873DF5">
        <w:rPr>
          <w:rFonts w:ascii="Times New Roman" w:hAnsi="Times New Roman" w:cs="Times New Roman"/>
          <w:sz w:val="24"/>
          <w:szCs w:val="24"/>
        </w:rPr>
        <w:t>.</w:t>
      </w:r>
    </w:p>
    <w:p w:rsidR="00CF5CE2" w:rsidRPr="003122A3" w:rsidRDefault="00CF5CE2" w:rsidP="00CF5CE2">
      <w:pPr>
        <w:spacing w:after="0" w:line="240" w:lineRule="auto"/>
        <w:jc w:val="both"/>
        <w:rPr>
          <w:rFonts w:ascii="Times New Roman" w:hAnsi="Times New Roman" w:cs="Times New Roman"/>
          <w:sz w:val="24"/>
          <w:szCs w:val="24"/>
          <w:rtl/>
        </w:rPr>
      </w:pPr>
    </w:p>
    <w:p w:rsidR="008123B9" w:rsidRPr="003122A3" w:rsidRDefault="008123B9"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Net enrollment rate is a more accurate indicated since it expresses the enrollment rate of a specific age group (6-15 years). The gross enrollment rate includes enrolled children from older age groups. Thus, the net enrollment rate is lower than the gross enrollment rate. Nonetheless, </w:t>
      </w:r>
      <w:proofErr w:type="spellStart"/>
      <w:r w:rsidRPr="003122A3">
        <w:rPr>
          <w:rFonts w:ascii="Times New Roman" w:hAnsi="Times New Roman" w:cs="Times New Roman"/>
          <w:sz w:val="24"/>
          <w:szCs w:val="24"/>
        </w:rPr>
        <w:t>gorss</w:t>
      </w:r>
      <w:proofErr w:type="spellEnd"/>
      <w:r w:rsidRPr="003122A3">
        <w:rPr>
          <w:rFonts w:ascii="Times New Roman" w:hAnsi="Times New Roman" w:cs="Times New Roman"/>
          <w:sz w:val="24"/>
          <w:szCs w:val="24"/>
        </w:rPr>
        <w:t xml:space="preserve"> enrollment rates will be adopted for all of the population of the educational system. These rates do not reflect the children who are not enrolled in the educational system, nor their place of residence or reasons for lack of enrollment for follow up and provision of education services. Basic education in Palestine is compulsory by law, but </w:t>
      </w:r>
      <w:proofErr w:type="spellStart"/>
      <w:r w:rsidRPr="003122A3">
        <w:rPr>
          <w:rFonts w:ascii="Times New Roman" w:hAnsi="Times New Roman" w:cs="Times New Roman"/>
          <w:sz w:val="24"/>
          <w:szCs w:val="24"/>
        </w:rPr>
        <w:t>MoEHE</w:t>
      </w:r>
      <w:proofErr w:type="spellEnd"/>
      <w:r w:rsidRPr="003122A3">
        <w:rPr>
          <w:rFonts w:ascii="Times New Roman" w:hAnsi="Times New Roman" w:cs="Times New Roman"/>
          <w:sz w:val="24"/>
          <w:szCs w:val="24"/>
        </w:rPr>
        <w:t xml:space="preserve"> does not yet have any procedures in place for monitoring such children and compelling guardians to comply with the legal requirements of compulsory primary education.</w:t>
      </w:r>
    </w:p>
    <w:p w:rsidR="00446841" w:rsidRDefault="00446841" w:rsidP="008E657F">
      <w:pPr>
        <w:jc w:val="both"/>
        <w:rPr>
          <w:rFonts w:ascii="Times New Roman" w:hAnsi="Times New Roman" w:cs="Times New Roman"/>
          <w:sz w:val="24"/>
          <w:szCs w:val="24"/>
        </w:rPr>
      </w:pPr>
    </w:p>
    <w:p w:rsidR="006A795C" w:rsidRDefault="006A795C" w:rsidP="008E657F">
      <w:pPr>
        <w:jc w:val="both"/>
        <w:rPr>
          <w:rFonts w:ascii="Times New Roman" w:hAnsi="Times New Roman" w:cs="Times New Roman"/>
          <w:sz w:val="24"/>
          <w:szCs w:val="24"/>
        </w:rPr>
      </w:pPr>
    </w:p>
    <w:p w:rsidR="00C76D83" w:rsidRDefault="00C76D83" w:rsidP="008E657F">
      <w:pPr>
        <w:jc w:val="both"/>
        <w:rPr>
          <w:rFonts w:ascii="Times New Roman" w:hAnsi="Times New Roman" w:cs="Times New Roman"/>
          <w:sz w:val="24"/>
          <w:szCs w:val="24"/>
        </w:rPr>
      </w:pPr>
    </w:p>
    <w:p w:rsidR="00CF5CE2" w:rsidRPr="003122A3" w:rsidRDefault="00CF5CE2" w:rsidP="008E657F">
      <w:pPr>
        <w:jc w:val="both"/>
        <w:rPr>
          <w:rFonts w:ascii="Times New Roman" w:hAnsi="Times New Roman" w:cs="Times New Roman"/>
          <w:sz w:val="24"/>
          <w:szCs w:val="24"/>
          <w:rtl/>
        </w:rPr>
      </w:pPr>
    </w:p>
    <w:p w:rsidR="008123B9" w:rsidRPr="003122A3" w:rsidRDefault="0032054D" w:rsidP="00801927">
      <w:pPr>
        <w:pStyle w:val="Caption"/>
        <w:bidi w:val="0"/>
        <w:rPr>
          <w:b w:val="0"/>
          <w:bCs w:val="0"/>
          <w:sz w:val="22"/>
          <w:szCs w:val="22"/>
        </w:rPr>
      </w:pPr>
      <w:bookmarkStart w:id="22" w:name="_Toc420268221"/>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7</w:t>
      </w:r>
      <w:r w:rsidR="008F57C8" w:rsidRPr="003122A3">
        <w:rPr>
          <w:sz w:val="22"/>
          <w:szCs w:val="24"/>
        </w:rPr>
        <w:fldChar w:fldCharType="end"/>
      </w:r>
      <w:r w:rsidRPr="003122A3">
        <w:rPr>
          <w:sz w:val="22"/>
          <w:szCs w:val="24"/>
        </w:rPr>
        <w:t xml:space="preserve">: Enrollment Rates by Stage, Region and </w:t>
      </w:r>
      <w:r w:rsidR="00801927" w:rsidRPr="003122A3">
        <w:rPr>
          <w:sz w:val="22"/>
          <w:szCs w:val="24"/>
        </w:rPr>
        <w:t>Sex</w:t>
      </w:r>
      <w:r w:rsidRPr="003122A3">
        <w:rPr>
          <w:sz w:val="22"/>
          <w:szCs w:val="24"/>
        </w:rPr>
        <w:t xml:space="preserve"> for the Academic Years (2007/2008 – 2013/2014)</w:t>
      </w:r>
      <w:bookmarkEnd w:id="22"/>
    </w:p>
    <w:p w:rsidR="000D5493" w:rsidRPr="003122A3" w:rsidRDefault="00D27521" w:rsidP="00055EB0">
      <w:pPr>
        <w:jc w:val="center"/>
        <w:rPr>
          <w:rFonts w:ascii="Times New Roman" w:hAnsi="Times New Roman" w:cs="Times New Roman"/>
          <w:sz w:val="24"/>
          <w:szCs w:val="24"/>
          <w:rtl/>
        </w:rPr>
      </w:pPr>
      <w:r w:rsidRPr="003122A3">
        <w:rPr>
          <w:rFonts w:ascii="Times New Roman" w:hAnsi="Times New Roman" w:cs="Times New Roman"/>
          <w:noProof/>
          <w:sz w:val="24"/>
          <w:szCs w:val="24"/>
          <w:rtl/>
        </w:rPr>
        <w:drawing>
          <wp:inline distT="0" distB="0" distL="0" distR="0">
            <wp:extent cx="5988852" cy="4485736"/>
            <wp:effectExtent l="19050" t="0" r="11898" b="0"/>
            <wp:docPr id="8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123B9" w:rsidRPr="003122A3" w:rsidRDefault="00A20B8F" w:rsidP="008E657F">
      <w:pPr>
        <w:jc w:val="both"/>
        <w:rPr>
          <w:rFonts w:ascii="Times New Roman" w:hAnsi="Times New Roman" w:cs="Times New Roman"/>
          <w:iCs/>
          <w:sz w:val="18"/>
          <w:szCs w:val="18"/>
        </w:rPr>
      </w:pPr>
      <w:r w:rsidRPr="003122A3">
        <w:rPr>
          <w:rFonts w:ascii="Times New Roman" w:hAnsi="Times New Roman" w:cs="Times New Roman"/>
          <w:sz w:val="18"/>
          <w:szCs w:val="18"/>
          <w:rtl/>
        </w:rPr>
        <w:t xml:space="preserve">  </w:t>
      </w:r>
      <w:r w:rsidR="008123B9" w:rsidRPr="003122A3">
        <w:rPr>
          <w:rFonts w:ascii="Times New Roman" w:hAnsi="Times New Roman" w:cs="Times New Roman"/>
          <w:iCs/>
          <w:sz w:val="18"/>
          <w:szCs w:val="18"/>
        </w:rPr>
        <w:t> Source: Educational databases: General Administration of Planning, Ministry of Education.</w:t>
      </w:r>
    </w:p>
    <w:p w:rsidR="008123B9" w:rsidRPr="003122A3" w:rsidRDefault="008123B9" w:rsidP="00CF5CE2">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Enrollment rate up to fifth grade was 98.3% in 2013 with minor differences between males and females and with 2012. Enrollment up to tenth grade was estimated at 83.7%, being (92.4% among females), and (75.5% for males) in 2013.</w:t>
      </w:r>
    </w:p>
    <w:p w:rsidR="00055EB0" w:rsidRPr="00CF5CE2" w:rsidRDefault="00055EB0" w:rsidP="00CF5CE2">
      <w:pPr>
        <w:pStyle w:val="Heading2"/>
        <w:ind w:firstLine="241"/>
        <w:jc w:val="left"/>
        <w:rPr>
          <w:rFonts w:ascii="Times New Roman" w:hAnsi="Times New Roman" w:cs="Times New Roman"/>
          <w:sz w:val="24"/>
          <w:szCs w:val="24"/>
        </w:rPr>
      </w:pPr>
      <w:bookmarkStart w:id="23" w:name="_Toc420244972"/>
    </w:p>
    <w:p w:rsidR="00D1104C" w:rsidRDefault="00951AF8" w:rsidP="00446841">
      <w:pPr>
        <w:pStyle w:val="Heading2"/>
        <w:ind w:firstLineChars="0" w:firstLine="0"/>
        <w:jc w:val="left"/>
        <w:rPr>
          <w:rFonts w:ascii="Times New Roman" w:hAnsi="Times New Roman" w:cs="Times New Roman"/>
          <w:sz w:val="24"/>
          <w:szCs w:val="24"/>
        </w:rPr>
      </w:pPr>
      <w:r w:rsidRPr="003122A3">
        <w:rPr>
          <w:rFonts w:ascii="Times New Roman" w:hAnsi="Times New Roman" w:cs="Times New Roman"/>
          <w:sz w:val="24"/>
          <w:szCs w:val="24"/>
        </w:rPr>
        <w:t>3.4</w:t>
      </w:r>
      <w:r w:rsidR="008123B9" w:rsidRPr="003122A3">
        <w:rPr>
          <w:rFonts w:ascii="Times New Roman" w:hAnsi="Times New Roman" w:cs="Times New Roman"/>
          <w:sz w:val="24"/>
          <w:szCs w:val="24"/>
        </w:rPr>
        <w:t xml:space="preserve"> Dropout Rates 2012/2013</w:t>
      </w:r>
      <w:bookmarkEnd w:id="23"/>
    </w:p>
    <w:p w:rsidR="00CF5CE2" w:rsidRPr="00CF5CE2" w:rsidRDefault="00CF5CE2" w:rsidP="00CF5CE2">
      <w:pPr>
        <w:pStyle w:val="Heading2"/>
        <w:ind w:firstLine="241"/>
        <w:jc w:val="left"/>
        <w:rPr>
          <w:rFonts w:ascii="Times New Roman" w:hAnsi="Times New Roman" w:cs="Times New Roman"/>
          <w:sz w:val="24"/>
          <w:szCs w:val="24"/>
        </w:rPr>
      </w:pPr>
    </w:p>
    <w:p w:rsidR="008123B9" w:rsidRPr="003122A3" w:rsidRDefault="008123B9" w:rsidP="00CF5CE2">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Overall dropout rates were relatively low in Palestine. The dropout rate in government, private and UNRWA schools at the secondary level was 4 times higher than at the primary level. In the 2012/2013 academic year, the dropout rate was 1.0% in Palestine (1.3% for males and 0.8% for females), being 0.7% in the primary education (1.0% for males and 0.5% for females) to triple in secondary stage with 3.3% (3.5% for males and 3.1% for females).</w:t>
      </w:r>
    </w:p>
    <w:p w:rsidR="001F7BD4" w:rsidRPr="003122A3" w:rsidRDefault="001F7BD4" w:rsidP="008E657F">
      <w:pPr>
        <w:jc w:val="both"/>
        <w:rPr>
          <w:rFonts w:ascii="Times New Roman" w:hAnsi="Times New Roman" w:cs="Times New Roman"/>
          <w:color w:val="FF0000"/>
          <w:sz w:val="24"/>
          <w:szCs w:val="24"/>
          <w:rtl/>
        </w:rPr>
      </w:pPr>
    </w:p>
    <w:p w:rsidR="00D1104C" w:rsidRPr="003122A3" w:rsidRDefault="00D1104C" w:rsidP="008E657F">
      <w:pPr>
        <w:jc w:val="both"/>
        <w:rPr>
          <w:rFonts w:ascii="Times New Roman" w:hAnsi="Times New Roman" w:cs="Times New Roman"/>
          <w:color w:val="FF0000"/>
          <w:sz w:val="24"/>
          <w:szCs w:val="24"/>
          <w:rtl/>
        </w:rPr>
      </w:pPr>
      <w:r w:rsidRPr="003122A3">
        <w:rPr>
          <w:rFonts w:ascii="Times New Roman" w:hAnsi="Times New Roman" w:cs="Times New Roman"/>
          <w:color w:val="FF0000"/>
          <w:sz w:val="24"/>
          <w:szCs w:val="24"/>
          <w:rtl/>
        </w:rPr>
        <w:t xml:space="preserve"> </w:t>
      </w:r>
    </w:p>
    <w:p w:rsidR="00A20B8F" w:rsidRPr="003122A3" w:rsidRDefault="00A20B8F" w:rsidP="008E657F">
      <w:pPr>
        <w:jc w:val="both"/>
        <w:rPr>
          <w:rFonts w:ascii="Times New Roman" w:hAnsi="Times New Roman" w:cs="Times New Roman"/>
          <w:color w:val="FF0000"/>
          <w:sz w:val="24"/>
          <w:szCs w:val="24"/>
          <w:rtl/>
        </w:rPr>
      </w:pPr>
    </w:p>
    <w:p w:rsidR="00A20B8F" w:rsidRPr="003122A3" w:rsidRDefault="00A20B8F" w:rsidP="008E657F">
      <w:pPr>
        <w:jc w:val="both"/>
        <w:rPr>
          <w:rFonts w:ascii="Times New Roman" w:hAnsi="Times New Roman" w:cs="Times New Roman"/>
          <w:color w:val="FF0000"/>
          <w:sz w:val="24"/>
          <w:szCs w:val="24"/>
        </w:rPr>
      </w:pPr>
    </w:p>
    <w:p w:rsidR="00055EB0" w:rsidRDefault="00055EB0" w:rsidP="008E657F">
      <w:pPr>
        <w:jc w:val="both"/>
        <w:rPr>
          <w:rFonts w:ascii="Times New Roman" w:hAnsi="Times New Roman" w:cs="Times New Roman"/>
          <w:color w:val="FF0000"/>
          <w:sz w:val="24"/>
          <w:szCs w:val="24"/>
        </w:rPr>
      </w:pPr>
    </w:p>
    <w:p w:rsidR="00CF5CE2" w:rsidRDefault="00CF5CE2" w:rsidP="008E657F">
      <w:pPr>
        <w:jc w:val="both"/>
        <w:rPr>
          <w:rFonts w:ascii="Times New Roman" w:hAnsi="Times New Roman" w:cs="Times New Roman"/>
          <w:color w:val="FF0000"/>
          <w:sz w:val="24"/>
          <w:szCs w:val="24"/>
        </w:rPr>
      </w:pPr>
    </w:p>
    <w:p w:rsidR="0032054D" w:rsidRPr="003122A3" w:rsidRDefault="0032054D" w:rsidP="00F0697F">
      <w:pPr>
        <w:pStyle w:val="Caption"/>
        <w:bidi w:val="0"/>
        <w:rPr>
          <w:sz w:val="22"/>
          <w:szCs w:val="22"/>
        </w:rPr>
      </w:pPr>
      <w:bookmarkStart w:id="24" w:name="_Toc420268222"/>
      <w:r w:rsidRPr="003122A3">
        <w:rPr>
          <w:sz w:val="22"/>
          <w:szCs w:val="22"/>
        </w:rPr>
        <w:t>Figure</w:t>
      </w:r>
      <w:r w:rsidR="00446841"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8</w:t>
      </w:r>
      <w:r w:rsidR="008F57C8" w:rsidRPr="003122A3">
        <w:rPr>
          <w:sz w:val="22"/>
          <w:szCs w:val="22"/>
          <w:rtl/>
        </w:rPr>
        <w:fldChar w:fldCharType="end"/>
      </w:r>
      <w:r w:rsidRPr="003122A3">
        <w:rPr>
          <w:sz w:val="22"/>
          <w:szCs w:val="22"/>
        </w:rPr>
        <w:t xml:space="preserve">: Dropout Rates by </w:t>
      </w:r>
      <w:r w:rsidR="00F0697F" w:rsidRPr="003122A3">
        <w:rPr>
          <w:sz w:val="22"/>
          <w:szCs w:val="22"/>
        </w:rPr>
        <w:t>Sex</w:t>
      </w:r>
      <w:r w:rsidRPr="003122A3">
        <w:rPr>
          <w:sz w:val="22"/>
          <w:szCs w:val="22"/>
        </w:rPr>
        <w:t xml:space="preserve"> and School Stage for 2012/2013</w:t>
      </w:r>
      <w:bookmarkEnd w:id="24"/>
    </w:p>
    <w:p w:rsidR="00AE6019" w:rsidRPr="003122A3" w:rsidRDefault="00AE6019" w:rsidP="00055EB0">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482805" cy="2415396"/>
            <wp:effectExtent l="19050" t="0" r="22645" b="3954"/>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2B47EC" w:rsidRPr="003122A3" w:rsidRDefault="00446841" w:rsidP="008E657F">
      <w:pPr>
        <w:jc w:val="both"/>
        <w:rPr>
          <w:rFonts w:ascii="Times New Roman" w:hAnsi="Times New Roman" w:cs="Times New Roman"/>
          <w:iCs/>
          <w:sz w:val="18"/>
          <w:szCs w:val="18"/>
        </w:rPr>
      </w:pPr>
      <w:r w:rsidRPr="003122A3">
        <w:rPr>
          <w:rFonts w:ascii="Times New Roman" w:hAnsi="Times New Roman" w:cs="Times New Roman"/>
        </w:rPr>
        <w:t xml:space="preserve"> </w:t>
      </w:r>
      <w:r w:rsidR="0051015F" w:rsidRPr="003122A3">
        <w:rPr>
          <w:rFonts w:ascii="Times New Roman" w:hAnsi="Times New Roman" w:cs="Times New Roman"/>
          <w:rtl/>
        </w:rPr>
        <w:t xml:space="preserve">    </w:t>
      </w:r>
      <w:r w:rsidR="00A1478E" w:rsidRPr="003122A3">
        <w:rPr>
          <w:rFonts w:ascii="Times New Roman" w:hAnsi="Times New Roman" w:cs="Times New Roman"/>
          <w:rtl/>
        </w:rPr>
        <w:t xml:space="preserve">    </w:t>
      </w:r>
      <w:r w:rsidR="0087501F" w:rsidRPr="003122A3">
        <w:rPr>
          <w:rFonts w:ascii="Times New Roman" w:hAnsi="Times New Roman" w:cs="Times New Roman"/>
          <w:sz w:val="18"/>
          <w:szCs w:val="18"/>
          <w:rtl/>
        </w:rPr>
        <w:t xml:space="preserve"> </w:t>
      </w:r>
      <w:r w:rsidR="002B47EC" w:rsidRPr="003122A3">
        <w:rPr>
          <w:rFonts w:ascii="Times New Roman" w:hAnsi="Times New Roman" w:cs="Times New Roman"/>
          <w:iCs/>
          <w:sz w:val="18"/>
          <w:szCs w:val="18"/>
        </w:rPr>
        <w:t xml:space="preserve"> Source: Educational databases: General Administration of </w:t>
      </w:r>
      <w:r w:rsidR="00F0697F" w:rsidRPr="003122A3">
        <w:rPr>
          <w:rFonts w:ascii="Times New Roman" w:hAnsi="Times New Roman" w:cs="Times New Roman"/>
          <w:iCs/>
          <w:sz w:val="18"/>
          <w:szCs w:val="18"/>
        </w:rPr>
        <w:t>Planning, Ministry of Education 2012-2013</w:t>
      </w:r>
    </w:p>
    <w:p w:rsidR="002B47EC" w:rsidRDefault="002B47EC"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Dropout rates may be attributed to the inability to balance studying and working, especially among male students or between early engagement or marriage and studying for female students. Other reasons include recurrent failure, lack of desire to enroll in mixed schools or in a school far from the residential area in addition to disabilities including being visually impaired or suffering psychosomatic symptoms.</w:t>
      </w:r>
    </w:p>
    <w:p w:rsidR="00CF5CE2" w:rsidRPr="003122A3" w:rsidRDefault="00CF5CE2" w:rsidP="00CF5CE2">
      <w:pPr>
        <w:spacing w:after="0" w:line="240" w:lineRule="auto"/>
        <w:jc w:val="both"/>
        <w:rPr>
          <w:rFonts w:ascii="Times New Roman" w:hAnsi="Times New Roman" w:cs="Times New Roman"/>
          <w:sz w:val="24"/>
          <w:szCs w:val="24"/>
          <w:rtl/>
        </w:rPr>
      </w:pPr>
    </w:p>
    <w:p w:rsidR="002B47EC" w:rsidRPr="003122A3" w:rsidRDefault="00387000" w:rsidP="00055EB0">
      <w:pPr>
        <w:pStyle w:val="Caption"/>
        <w:bidi w:val="0"/>
        <w:rPr>
          <w:b w:val="0"/>
          <w:bCs w:val="0"/>
          <w:sz w:val="22"/>
          <w:szCs w:val="22"/>
          <w:rtl/>
        </w:rPr>
      </w:pPr>
      <w:bookmarkStart w:id="25" w:name="_Toc420268223"/>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9</w:t>
      </w:r>
      <w:r w:rsidR="008F57C8" w:rsidRPr="003122A3">
        <w:rPr>
          <w:sz w:val="22"/>
          <w:szCs w:val="24"/>
        </w:rPr>
        <w:fldChar w:fldCharType="end"/>
      </w:r>
      <w:r w:rsidRPr="003122A3">
        <w:rPr>
          <w:sz w:val="22"/>
          <w:szCs w:val="24"/>
        </w:rPr>
        <w:t>: Dropout Rates in Schools of West Bank and Area C Schools, 2009/2010 and 2010/2011</w:t>
      </w:r>
      <w:bookmarkEnd w:id="25"/>
    </w:p>
    <w:p w:rsidR="008868ED" w:rsidRPr="003122A3" w:rsidRDefault="002B47EC" w:rsidP="00055EB0">
      <w:pPr>
        <w:jc w:val="center"/>
        <w:rPr>
          <w:rFonts w:ascii="Times New Roman" w:hAnsi="Times New Roman" w:cs="Times New Roman"/>
          <w:rtl/>
        </w:rPr>
      </w:pPr>
      <w:r w:rsidRPr="003122A3">
        <w:rPr>
          <w:rFonts w:ascii="Times New Roman" w:hAnsi="Times New Roman" w:cs="Times New Roman"/>
          <w:noProof/>
          <w:sz w:val="24"/>
          <w:szCs w:val="24"/>
        </w:rPr>
        <w:drawing>
          <wp:inline distT="0" distB="0" distL="0" distR="0">
            <wp:extent cx="5486400" cy="2162175"/>
            <wp:effectExtent l="19050" t="0" r="19050" b="0"/>
            <wp:docPr id="91"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2B47EC" w:rsidRPr="003122A3" w:rsidRDefault="00446841" w:rsidP="008E657F">
      <w:pPr>
        <w:jc w:val="both"/>
        <w:rPr>
          <w:rFonts w:ascii="Times New Roman" w:hAnsi="Times New Roman" w:cs="Times New Roman"/>
          <w:sz w:val="18"/>
          <w:szCs w:val="18"/>
        </w:rPr>
      </w:pPr>
      <w:r w:rsidRPr="003122A3">
        <w:rPr>
          <w:rFonts w:ascii="Times New Roman" w:hAnsi="Times New Roman" w:cs="Times New Roman"/>
          <w:sz w:val="18"/>
          <w:szCs w:val="18"/>
        </w:rPr>
        <w:t xml:space="preserve">         </w:t>
      </w:r>
      <w:r w:rsidR="002B47EC" w:rsidRPr="003122A3">
        <w:rPr>
          <w:rFonts w:ascii="Times New Roman" w:hAnsi="Times New Roman" w:cs="Times New Roman"/>
          <w:sz w:val="18"/>
          <w:szCs w:val="18"/>
        </w:rPr>
        <w:t>  Source: Ministry of Education. Annual report to monitor and evaluate the Strategic Development Plan 2008-2012.</w:t>
      </w:r>
    </w:p>
    <w:p w:rsidR="002B47EC" w:rsidRPr="003122A3" w:rsidRDefault="002B47EC"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Some students who drop out of school may enroll at a vocational center for youth run by the Ministry of Social Affairs or another agency.</w:t>
      </w:r>
    </w:p>
    <w:p w:rsidR="00055EB0" w:rsidRPr="00CF5CE2" w:rsidRDefault="00055EB0" w:rsidP="00CF5CE2">
      <w:pPr>
        <w:pStyle w:val="Heading2"/>
        <w:ind w:firstLine="241"/>
        <w:jc w:val="left"/>
        <w:rPr>
          <w:rFonts w:ascii="Times New Roman" w:hAnsi="Times New Roman" w:cs="Times New Roman"/>
          <w:sz w:val="24"/>
          <w:szCs w:val="24"/>
        </w:rPr>
      </w:pPr>
      <w:bookmarkStart w:id="26" w:name="_Toc420244973"/>
    </w:p>
    <w:p w:rsidR="00C47929" w:rsidRPr="003122A3" w:rsidRDefault="002B47EC" w:rsidP="00446841">
      <w:pPr>
        <w:pStyle w:val="Heading2"/>
        <w:ind w:firstLineChars="0" w:firstLine="0"/>
        <w:jc w:val="left"/>
        <w:rPr>
          <w:rFonts w:ascii="Times New Roman" w:hAnsi="Times New Roman" w:cs="Times New Roman"/>
          <w:sz w:val="24"/>
          <w:szCs w:val="24"/>
        </w:rPr>
      </w:pPr>
      <w:r w:rsidRPr="003122A3">
        <w:rPr>
          <w:rFonts w:ascii="Times New Roman" w:hAnsi="Times New Roman" w:cs="Times New Roman"/>
          <w:sz w:val="24"/>
          <w:szCs w:val="24"/>
        </w:rPr>
        <w:t>3.5 Students Performance in National Exams</w:t>
      </w:r>
      <w:bookmarkEnd w:id="26"/>
    </w:p>
    <w:p w:rsidR="00446841" w:rsidRPr="00CF5CE2" w:rsidRDefault="00446841" w:rsidP="00CF5CE2">
      <w:pPr>
        <w:pStyle w:val="Heading2"/>
        <w:ind w:firstLine="241"/>
        <w:jc w:val="left"/>
        <w:rPr>
          <w:rFonts w:ascii="Times New Roman" w:hAnsi="Times New Roman" w:cs="Times New Roman"/>
          <w:sz w:val="24"/>
          <w:szCs w:val="24"/>
        </w:rPr>
      </w:pPr>
    </w:p>
    <w:p w:rsidR="00387000" w:rsidRDefault="002B47EC"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Dropout was found most frequently to be linked to poor academic performance. The results of the bi-annual national examinations showed an overall decline in the level of students in science and mathematics from 2007/2008 to 2009/2010 for fourth and tenth grades students. Results show decline in performance in comparison to previous years in </w:t>
      </w:r>
      <w:proofErr w:type="spellStart"/>
      <w:r w:rsidRPr="003122A3">
        <w:rPr>
          <w:rFonts w:ascii="Times New Roman" w:hAnsi="Times New Roman" w:cs="Times New Roman"/>
          <w:sz w:val="24"/>
          <w:szCs w:val="24"/>
        </w:rPr>
        <w:t>maths</w:t>
      </w:r>
      <w:proofErr w:type="spellEnd"/>
      <w:r w:rsidRPr="003122A3">
        <w:rPr>
          <w:rFonts w:ascii="Times New Roman" w:hAnsi="Times New Roman" w:cs="Times New Roman"/>
          <w:sz w:val="24"/>
          <w:szCs w:val="24"/>
        </w:rPr>
        <w:t xml:space="preserve"> and Arabic language and improvement in sciences for fourth grade students. Performance in science decline while it improved in Arabic language and </w:t>
      </w:r>
      <w:proofErr w:type="spellStart"/>
      <w:r w:rsidRPr="003122A3">
        <w:rPr>
          <w:rFonts w:ascii="Times New Roman" w:hAnsi="Times New Roman" w:cs="Times New Roman"/>
          <w:sz w:val="24"/>
          <w:szCs w:val="24"/>
        </w:rPr>
        <w:t>maths</w:t>
      </w:r>
      <w:proofErr w:type="spellEnd"/>
      <w:r w:rsidRPr="003122A3">
        <w:rPr>
          <w:rFonts w:ascii="Times New Roman" w:hAnsi="Times New Roman" w:cs="Times New Roman"/>
          <w:sz w:val="24"/>
          <w:szCs w:val="24"/>
        </w:rPr>
        <w:t xml:space="preserve"> for tenth grade students. Females performed better than males; still the academic performance is still low and may do not succeed; it is also noticed that performance of females declined in 2011/2012 academic year from previous years, knowing that the national assessment tests take place once every second year.</w:t>
      </w:r>
      <w:r w:rsidR="00C47929" w:rsidRPr="003122A3">
        <w:rPr>
          <w:rFonts w:ascii="Times New Roman" w:hAnsi="Times New Roman" w:cs="Times New Roman"/>
          <w:sz w:val="24"/>
          <w:szCs w:val="24"/>
          <w:rtl/>
        </w:rPr>
        <w:t xml:space="preserve"> </w:t>
      </w:r>
    </w:p>
    <w:p w:rsidR="00CF5CE2" w:rsidRPr="00CF5CE2" w:rsidRDefault="00CF5CE2" w:rsidP="00CF5CE2">
      <w:pPr>
        <w:spacing w:after="0" w:line="240" w:lineRule="auto"/>
        <w:jc w:val="both"/>
        <w:rPr>
          <w:rFonts w:ascii="Times New Roman" w:hAnsi="Times New Roman" w:cs="Times New Roman"/>
          <w:sz w:val="24"/>
          <w:szCs w:val="24"/>
        </w:rPr>
      </w:pPr>
    </w:p>
    <w:p w:rsidR="00387000" w:rsidRPr="003122A3" w:rsidRDefault="00387000" w:rsidP="00055EB0">
      <w:pPr>
        <w:pStyle w:val="Caption"/>
        <w:bidi w:val="0"/>
        <w:rPr>
          <w:sz w:val="22"/>
          <w:szCs w:val="24"/>
        </w:rPr>
      </w:pPr>
      <w:bookmarkStart w:id="27" w:name="_Toc420268224"/>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10</w:t>
      </w:r>
      <w:r w:rsidR="008F57C8" w:rsidRPr="003122A3">
        <w:rPr>
          <w:sz w:val="22"/>
          <w:szCs w:val="24"/>
        </w:rPr>
        <w:fldChar w:fldCharType="end"/>
      </w:r>
      <w:r w:rsidRPr="003122A3">
        <w:rPr>
          <w:sz w:val="22"/>
          <w:szCs w:val="24"/>
        </w:rPr>
        <w:t>: Academic Performance of Fourth Grade Students in National Examinations for Selected School Years</w:t>
      </w:r>
      <w:bookmarkEnd w:id="27"/>
    </w:p>
    <w:p w:rsidR="00BD7696" w:rsidRPr="003122A3" w:rsidRDefault="002B47EC" w:rsidP="00055EB0">
      <w:pPr>
        <w:jc w:val="center"/>
        <w:rPr>
          <w:rFonts w:ascii="Times New Roman" w:hAnsi="Times New Roman" w:cs="Times New Roman"/>
          <w:sz w:val="24"/>
          <w:szCs w:val="24"/>
          <w:rtl/>
        </w:rPr>
      </w:pPr>
      <w:r w:rsidRPr="003122A3">
        <w:rPr>
          <w:rFonts w:ascii="Times New Roman" w:hAnsi="Times New Roman" w:cs="Times New Roman"/>
          <w:noProof/>
          <w:sz w:val="24"/>
          <w:szCs w:val="24"/>
        </w:rPr>
        <w:drawing>
          <wp:inline distT="0" distB="0" distL="0" distR="0">
            <wp:extent cx="5759450" cy="2571750"/>
            <wp:effectExtent l="19050" t="0" r="12700" b="0"/>
            <wp:docPr id="92"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2B47EC" w:rsidRPr="003122A3" w:rsidRDefault="00253730" w:rsidP="001831A1">
      <w:pPr>
        <w:tabs>
          <w:tab w:val="left" w:pos="426"/>
        </w:tabs>
        <w:jc w:val="both"/>
        <w:rPr>
          <w:rFonts w:ascii="Times New Roman" w:hAnsi="Times New Roman" w:cs="Times New Roman"/>
          <w:sz w:val="18"/>
          <w:szCs w:val="18"/>
        </w:rPr>
      </w:pPr>
      <w:r w:rsidRPr="003122A3">
        <w:rPr>
          <w:rFonts w:ascii="Times New Roman" w:hAnsi="Times New Roman" w:cs="Times New Roman"/>
          <w:sz w:val="18"/>
          <w:szCs w:val="18"/>
          <w:rtl/>
        </w:rPr>
        <w:t xml:space="preserve">   </w:t>
      </w:r>
      <w:r w:rsidR="00D95229" w:rsidRPr="003122A3">
        <w:rPr>
          <w:rFonts w:ascii="Times New Roman" w:hAnsi="Times New Roman" w:cs="Times New Roman"/>
          <w:sz w:val="18"/>
          <w:szCs w:val="18"/>
          <w:rtl/>
        </w:rPr>
        <w:t xml:space="preserve">   </w:t>
      </w:r>
      <w:r w:rsidRPr="003122A3">
        <w:rPr>
          <w:rFonts w:ascii="Times New Roman" w:hAnsi="Times New Roman" w:cs="Times New Roman"/>
          <w:sz w:val="18"/>
          <w:szCs w:val="18"/>
          <w:rtl/>
        </w:rPr>
        <w:t xml:space="preserve">   </w:t>
      </w:r>
      <w:r w:rsidR="001831A1">
        <w:rPr>
          <w:rFonts w:ascii="Times New Roman" w:hAnsi="Times New Roman" w:cs="Times New Roman"/>
          <w:sz w:val="18"/>
          <w:szCs w:val="18"/>
        </w:rPr>
        <w:t xml:space="preserve"> </w:t>
      </w:r>
      <w:r w:rsidR="002B47EC" w:rsidRPr="003122A3">
        <w:rPr>
          <w:rFonts w:ascii="Times New Roman" w:hAnsi="Times New Roman" w:cs="Times New Roman"/>
          <w:sz w:val="18"/>
          <w:szCs w:val="18"/>
        </w:rPr>
        <w:t>Source: Ministry of Education, 2013.</w:t>
      </w:r>
    </w:p>
    <w:p w:rsidR="002B47EC" w:rsidRPr="003122A3" w:rsidRDefault="00387000" w:rsidP="00055EB0">
      <w:pPr>
        <w:pStyle w:val="Caption"/>
        <w:bidi w:val="0"/>
        <w:rPr>
          <w:b w:val="0"/>
          <w:bCs w:val="0"/>
          <w:sz w:val="22"/>
          <w:szCs w:val="22"/>
        </w:rPr>
      </w:pPr>
      <w:bookmarkStart w:id="28" w:name="_Toc420268225"/>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11</w:t>
      </w:r>
      <w:r w:rsidR="008F57C8" w:rsidRPr="003122A3">
        <w:rPr>
          <w:sz w:val="22"/>
          <w:szCs w:val="24"/>
        </w:rPr>
        <w:fldChar w:fldCharType="end"/>
      </w:r>
      <w:r w:rsidRPr="003122A3">
        <w:rPr>
          <w:sz w:val="22"/>
          <w:szCs w:val="24"/>
        </w:rPr>
        <w:t>: Academic Performance of Tenth Grade Students in National Examinations for Selected School Years</w:t>
      </w:r>
      <w:bookmarkEnd w:id="28"/>
    </w:p>
    <w:p w:rsidR="0078581C" w:rsidRPr="003122A3" w:rsidRDefault="002B47EC" w:rsidP="00055EB0">
      <w:pPr>
        <w:jc w:val="center"/>
        <w:rPr>
          <w:rFonts w:ascii="Times New Roman" w:hAnsi="Times New Roman" w:cs="Times New Roman"/>
          <w:b/>
          <w:bCs/>
          <w:sz w:val="24"/>
          <w:szCs w:val="24"/>
          <w:rtl/>
        </w:rPr>
      </w:pPr>
      <w:r w:rsidRPr="003122A3">
        <w:rPr>
          <w:rFonts w:ascii="Times New Roman" w:hAnsi="Times New Roman" w:cs="Times New Roman"/>
          <w:noProof/>
          <w:sz w:val="24"/>
          <w:szCs w:val="24"/>
        </w:rPr>
        <w:drawing>
          <wp:inline distT="0" distB="0" distL="0" distR="0">
            <wp:extent cx="5759450" cy="2781300"/>
            <wp:effectExtent l="19050" t="0" r="12700" b="0"/>
            <wp:docPr id="93"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253730" w:rsidRPr="003122A3" w:rsidRDefault="00253730" w:rsidP="001831A1">
      <w:pPr>
        <w:jc w:val="both"/>
        <w:rPr>
          <w:rFonts w:ascii="Times New Roman" w:hAnsi="Times New Roman" w:cs="Times New Roman"/>
          <w:sz w:val="24"/>
          <w:szCs w:val="24"/>
          <w:rtl/>
        </w:rPr>
      </w:pPr>
      <w:r w:rsidRPr="003122A3">
        <w:rPr>
          <w:rFonts w:ascii="Times New Roman" w:hAnsi="Times New Roman" w:cs="Times New Roman"/>
          <w:sz w:val="18"/>
          <w:szCs w:val="18"/>
          <w:rtl/>
        </w:rPr>
        <w:t xml:space="preserve">  </w:t>
      </w:r>
      <w:r w:rsidR="00D95229" w:rsidRPr="003122A3">
        <w:rPr>
          <w:rFonts w:ascii="Times New Roman" w:hAnsi="Times New Roman" w:cs="Times New Roman"/>
          <w:sz w:val="18"/>
          <w:szCs w:val="18"/>
          <w:rtl/>
        </w:rPr>
        <w:t xml:space="preserve">   </w:t>
      </w:r>
      <w:r w:rsidRPr="003122A3">
        <w:rPr>
          <w:rFonts w:ascii="Times New Roman" w:hAnsi="Times New Roman" w:cs="Times New Roman"/>
          <w:sz w:val="18"/>
          <w:szCs w:val="18"/>
          <w:rtl/>
        </w:rPr>
        <w:t xml:space="preserve">    </w:t>
      </w:r>
      <w:r w:rsidR="002B47EC" w:rsidRPr="003122A3">
        <w:rPr>
          <w:rFonts w:ascii="Times New Roman" w:hAnsi="Times New Roman" w:cs="Times New Roman"/>
          <w:sz w:val="18"/>
          <w:szCs w:val="18"/>
        </w:rPr>
        <w:t>Source: Ministry of Education, 2013.</w:t>
      </w:r>
    </w:p>
    <w:p w:rsidR="002B47EC" w:rsidRPr="003122A3" w:rsidRDefault="002B47EC"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These results are alarming, as despite efforts by the Ministry of Education to raise the level of education in Palestine, the national performance of students remains very low. Determining the causes and areas of low academic performance is crucial to tackling these issues. There are many reasons behind low academic performance, some related to the social environment (poverty, unemployment, child labor, disability, disease, malnutrition) or the physical environment and education, such as the availability of a suitable school environment and buildings, overcrowded facilities, equipment, transportation, adequate qualified educational staff and appropriate curricula.</w:t>
      </w:r>
    </w:p>
    <w:p w:rsidR="00CD512A" w:rsidRPr="003122A3" w:rsidRDefault="00BC2B0B" w:rsidP="00446841">
      <w:pPr>
        <w:pStyle w:val="Heading2"/>
        <w:ind w:firstLineChars="0" w:firstLine="0"/>
        <w:jc w:val="left"/>
        <w:rPr>
          <w:rFonts w:ascii="Times New Roman" w:hAnsi="Times New Roman" w:cs="Times New Roman"/>
          <w:sz w:val="24"/>
          <w:szCs w:val="24"/>
        </w:rPr>
      </w:pPr>
      <w:bookmarkStart w:id="29" w:name="_Toc420244974"/>
      <w:r w:rsidRPr="003122A3">
        <w:rPr>
          <w:rFonts w:ascii="Times New Roman" w:hAnsi="Times New Roman" w:cs="Times New Roman"/>
          <w:sz w:val="24"/>
          <w:szCs w:val="24"/>
        </w:rPr>
        <w:t xml:space="preserve">3.6 Qualified Teachers and Teachers’ Training </w:t>
      </w:r>
      <w:proofErr w:type="spellStart"/>
      <w:r w:rsidRPr="003122A3">
        <w:rPr>
          <w:rFonts w:ascii="Times New Roman" w:hAnsi="Times New Roman" w:cs="Times New Roman"/>
          <w:sz w:val="24"/>
          <w:szCs w:val="24"/>
        </w:rPr>
        <w:t>Startegy</w:t>
      </w:r>
      <w:bookmarkEnd w:id="29"/>
      <w:proofErr w:type="spellEnd"/>
    </w:p>
    <w:p w:rsidR="00446841" w:rsidRPr="00CF5CE2" w:rsidRDefault="00446841" w:rsidP="00CF5CE2">
      <w:pPr>
        <w:pStyle w:val="Heading2"/>
        <w:ind w:firstLine="241"/>
        <w:jc w:val="left"/>
        <w:rPr>
          <w:rFonts w:ascii="Times New Roman" w:hAnsi="Times New Roman" w:cs="Times New Roman"/>
          <w:sz w:val="24"/>
          <w:szCs w:val="24"/>
          <w:rtl/>
        </w:rPr>
      </w:pPr>
    </w:p>
    <w:p w:rsidR="00BC2B0B" w:rsidRDefault="00BC2B0B"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percentage of teachers whose qualifications meet the standards of the Ministry of Education may be one of the causes of low student academic performance. Just 29.3% of teachers had qualifications that met ministry standards in 2011. The figure was higher among females than males. This means that less than one-third of teachers have appropriate qualifications for the teaching profession. The percentage was 45.7% among teachers of grades 1-4, with twice as many females in that category as males. Other factors contributing to low student performance could be high student density in classrooms, the new curricula and inappropriate teaching methods. Data from the Ministry indicates that a large percentage of teachers and applicants for teaching jobs obtained low grades in their high school exam certificates and half would not want to continue working as teachers if they found  better jobs.</w:t>
      </w:r>
      <w:r w:rsidRPr="003122A3">
        <w:rPr>
          <w:rStyle w:val="FootnoteReference"/>
          <w:rFonts w:ascii="Times New Roman" w:hAnsi="Times New Roman" w:cs="Times New Roman"/>
          <w:sz w:val="24"/>
          <w:szCs w:val="24"/>
        </w:rPr>
        <w:footnoteReference w:id="17"/>
      </w:r>
      <w:r w:rsidRPr="003122A3">
        <w:rPr>
          <w:rFonts w:ascii="Times New Roman" w:hAnsi="Times New Roman" w:cs="Times New Roman"/>
          <w:sz w:val="24"/>
          <w:szCs w:val="24"/>
        </w:rPr>
        <w:t xml:space="preserve">  While in the past teachers were highly respected and had higher levels of satisfaction with their pay, teachers no longer receive the same respect and are not satisfied with their fees. Currently, due to the deteriorating economic and social conditions, teaching is considered as a last resort for most young people, many of whom rely on private tutoring or other after-school part time jobs to support their income. However, teaching remains one of the most socially acceptable professions in Palestine for women and suits a married woman with children due to the shorter work day and school holidays. 50.0% of the new teachers hired in 2011 were qualified as the Ministry of Education has adopted new standards and implemented a new strategy for the recruitment and training of teachers.</w:t>
      </w:r>
    </w:p>
    <w:p w:rsidR="00CF5CE2" w:rsidRPr="003122A3" w:rsidRDefault="00CF5CE2" w:rsidP="00CF5CE2">
      <w:pPr>
        <w:spacing w:after="0" w:line="240" w:lineRule="auto"/>
        <w:jc w:val="both"/>
        <w:rPr>
          <w:rFonts w:ascii="Times New Roman" w:hAnsi="Times New Roman" w:cs="Times New Roman"/>
          <w:sz w:val="24"/>
          <w:szCs w:val="24"/>
        </w:rPr>
      </w:pPr>
    </w:p>
    <w:p w:rsidR="00DA2E36" w:rsidRPr="003122A3" w:rsidRDefault="00DA2E36" w:rsidP="00F0697F">
      <w:pPr>
        <w:pStyle w:val="Caption"/>
        <w:bidi w:val="0"/>
        <w:rPr>
          <w:sz w:val="22"/>
          <w:szCs w:val="22"/>
        </w:rPr>
      </w:pPr>
      <w:bookmarkStart w:id="30" w:name="_Toc420268226"/>
      <w:r w:rsidRPr="003122A3">
        <w:rPr>
          <w:sz w:val="22"/>
          <w:szCs w:val="22"/>
        </w:rPr>
        <w:t>Figure</w:t>
      </w:r>
      <w:r w:rsidR="008732FF"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12</w:t>
      </w:r>
      <w:r w:rsidR="008F57C8" w:rsidRPr="003122A3">
        <w:rPr>
          <w:sz w:val="22"/>
          <w:szCs w:val="22"/>
          <w:rtl/>
        </w:rPr>
        <w:fldChar w:fldCharType="end"/>
      </w:r>
      <w:r w:rsidRPr="003122A3">
        <w:rPr>
          <w:sz w:val="22"/>
          <w:szCs w:val="22"/>
        </w:rPr>
        <w:t xml:space="preserve">: Percentage of Qualified Teachers by </w:t>
      </w:r>
      <w:r w:rsidR="00F0697F" w:rsidRPr="003122A3">
        <w:rPr>
          <w:sz w:val="22"/>
          <w:szCs w:val="22"/>
        </w:rPr>
        <w:t>Sex</w:t>
      </w:r>
      <w:r w:rsidRPr="003122A3">
        <w:rPr>
          <w:sz w:val="22"/>
          <w:szCs w:val="22"/>
        </w:rPr>
        <w:t>, 2009-2011</w:t>
      </w:r>
      <w:bookmarkEnd w:id="30"/>
    </w:p>
    <w:p w:rsidR="00BF1D05" w:rsidRPr="003122A3" w:rsidRDefault="00F4239D" w:rsidP="00055EB0">
      <w:pPr>
        <w:jc w:val="center"/>
        <w:rPr>
          <w:rFonts w:ascii="Times New Roman" w:hAnsi="Times New Roman" w:cs="Times New Roman"/>
          <w:b/>
          <w:bCs/>
          <w:rtl/>
        </w:rPr>
      </w:pPr>
      <w:r w:rsidRPr="003122A3">
        <w:rPr>
          <w:rFonts w:ascii="Times New Roman" w:hAnsi="Times New Roman" w:cs="Times New Roman"/>
          <w:noProof/>
          <w:sz w:val="24"/>
          <w:szCs w:val="24"/>
        </w:rPr>
        <w:drawing>
          <wp:inline distT="0" distB="0" distL="0" distR="0">
            <wp:extent cx="5482805" cy="2484408"/>
            <wp:effectExtent l="19050" t="0" r="22645" b="0"/>
            <wp:docPr id="94"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816F1" w:rsidRPr="003122A3" w:rsidRDefault="00055EB0" w:rsidP="008E657F">
      <w:pPr>
        <w:jc w:val="both"/>
        <w:rPr>
          <w:rFonts w:ascii="Times New Roman" w:hAnsi="Times New Roman" w:cs="Times New Roman"/>
          <w:sz w:val="18"/>
          <w:szCs w:val="18"/>
          <w:rtl/>
        </w:rPr>
      </w:pPr>
      <w:r w:rsidRPr="003122A3">
        <w:rPr>
          <w:rFonts w:ascii="Times New Roman" w:hAnsi="Times New Roman" w:cs="Times New Roman"/>
          <w:sz w:val="18"/>
          <w:szCs w:val="18"/>
        </w:rPr>
        <w:t xml:space="preserve">           </w:t>
      </w:r>
      <w:r w:rsidR="00F4239D" w:rsidRPr="003122A3">
        <w:rPr>
          <w:rFonts w:ascii="Times New Roman" w:hAnsi="Times New Roman" w:cs="Times New Roman"/>
          <w:sz w:val="18"/>
          <w:szCs w:val="18"/>
        </w:rPr>
        <w:t xml:space="preserve">Source: Ministry of </w:t>
      </w:r>
      <w:proofErr w:type="spellStart"/>
      <w:r w:rsidR="00F4239D" w:rsidRPr="003122A3">
        <w:rPr>
          <w:rFonts w:ascii="Times New Roman" w:hAnsi="Times New Roman" w:cs="Times New Roman"/>
          <w:sz w:val="18"/>
          <w:szCs w:val="18"/>
        </w:rPr>
        <w:t>Educcation</w:t>
      </w:r>
      <w:proofErr w:type="spellEnd"/>
      <w:r w:rsidR="00F4239D" w:rsidRPr="003122A3">
        <w:rPr>
          <w:rFonts w:ascii="Times New Roman" w:hAnsi="Times New Roman" w:cs="Times New Roman"/>
          <w:sz w:val="18"/>
          <w:szCs w:val="18"/>
        </w:rPr>
        <w:t>, 2013</w:t>
      </w:r>
    </w:p>
    <w:p w:rsidR="004F2F39" w:rsidRPr="003122A3" w:rsidRDefault="004F2F39" w:rsidP="008E657F">
      <w:pPr>
        <w:jc w:val="both"/>
        <w:rPr>
          <w:rFonts w:ascii="Times New Roman" w:hAnsi="Times New Roman" w:cs="Times New Roman"/>
          <w:sz w:val="2"/>
          <w:szCs w:val="2"/>
        </w:rPr>
      </w:pPr>
    </w:p>
    <w:p w:rsidR="00D1104C" w:rsidRPr="003122A3" w:rsidRDefault="002775A9" w:rsidP="004F2F39">
      <w:pPr>
        <w:pStyle w:val="Heading2"/>
        <w:ind w:firstLineChars="0" w:firstLine="0"/>
        <w:jc w:val="left"/>
        <w:rPr>
          <w:rFonts w:ascii="Times New Roman" w:hAnsi="Times New Roman" w:cs="Times New Roman"/>
          <w:sz w:val="24"/>
          <w:szCs w:val="24"/>
        </w:rPr>
      </w:pPr>
      <w:bookmarkStart w:id="31" w:name="_Toc420244975"/>
      <w:r w:rsidRPr="003122A3">
        <w:rPr>
          <w:rFonts w:ascii="Times New Roman" w:hAnsi="Times New Roman" w:cs="Times New Roman"/>
          <w:sz w:val="24"/>
          <w:szCs w:val="24"/>
        </w:rPr>
        <w:t xml:space="preserve">3.7 Students per Teacher According to </w:t>
      </w:r>
      <w:proofErr w:type="spellStart"/>
      <w:r w:rsidRPr="003122A3">
        <w:rPr>
          <w:rFonts w:ascii="Times New Roman" w:hAnsi="Times New Roman" w:cs="Times New Roman"/>
          <w:sz w:val="24"/>
          <w:szCs w:val="24"/>
        </w:rPr>
        <w:t>Superevising</w:t>
      </w:r>
      <w:proofErr w:type="spellEnd"/>
      <w:r w:rsidRPr="003122A3">
        <w:rPr>
          <w:rFonts w:ascii="Times New Roman" w:hAnsi="Times New Roman" w:cs="Times New Roman"/>
          <w:sz w:val="24"/>
          <w:szCs w:val="24"/>
        </w:rPr>
        <w:t xml:space="preserve"> Agency 2013/2014</w:t>
      </w:r>
      <w:bookmarkEnd w:id="31"/>
    </w:p>
    <w:p w:rsidR="004F2F39" w:rsidRPr="00CF5CE2" w:rsidRDefault="004F2F39" w:rsidP="00CF5CE2">
      <w:pPr>
        <w:pStyle w:val="Heading2"/>
        <w:ind w:firstLine="241"/>
        <w:jc w:val="left"/>
        <w:rPr>
          <w:rFonts w:ascii="Times New Roman" w:hAnsi="Times New Roman" w:cs="Times New Roman"/>
          <w:sz w:val="24"/>
          <w:szCs w:val="24"/>
          <w:rtl/>
        </w:rPr>
      </w:pPr>
    </w:p>
    <w:p w:rsidR="002775A9" w:rsidRPr="003122A3" w:rsidRDefault="002775A9"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This indicator refers to overcrowding in the class and it is important to assess the educational environment in schools since high students per teacher averages increase the teachers’ burden and their ability to focus on students individual potential and abilities, as well as having insufficient time for </w:t>
      </w:r>
      <w:proofErr w:type="spellStart"/>
      <w:r w:rsidRPr="003122A3">
        <w:rPr>
          <w:rFonts w:ascii="Times New Roman" w:hAnsi="Times New Roman" w:cs="Times New Roman"/>
          <w:sz w:val="24"/>
          <w:szCs w:val="24"/>
        </w:rPr>
        <w:t>extracurricula</w:t>
      </w:r>
      <w:proofErr w:type="spellEnd"/>
      <w:r w:rsidRPr="003122A3">
        <w:rPr>
          <w:rFonts w:ascii="Times New Roman" w:hAnsi="Times New Roman" w:cs="Times New Roman"/>
          <w:sz w:val="24"/>
          <w:szCs w:val="24"/>
        </w:rPr>
        <w:t xml:space="preserve"> or practical activities.</w:t>
      </w:r>
    </w:p>
    <w:p w:rsidR="002775A9" w:rsidRDefault="002775A9" w:rsidP="00CF5CE2">
      <w:pPr>
        <w:spacing w:after="0" w:line="240" w:lineRule="auto"/>
        <w:jc w:val="both"/>
        <w:rPr>
          <w:rFonts w:ascii="Times New Roman" w:hAnsi="Times New Roman" w:cs="Times New Roman"/>
          <w:sz w:val="24"/>
          <w:szCs w:val="24"/>
          <w:vertAlign w:val="superscript"/>
        </w:rPr>
      </w:pPr>
      <w:r w:rsidRPr="003122A3">
        <w:rPr>
          <w:rFonts w:ascii="Times New Roman" w:hAnsi="Times New Roman" w:cs="Times New Roman"/>
          <w:sz w:val="24"/>
          <w:szCs w:val="24"/>
        </w:rPr>
        <w:t>On average, there were 21.4 students per teacher for all stages in the 2013/2014 academic year, with 20.3 students per teacher in government schools, 28.8 students per teacher in UNRWA schools and 16.5 students per teacher in private schools. The average is relatively high when compared to OECD countries (2005), where the average is 16.7 for basic education and 13.4 for secondary education.</w:t>
      </w:r>
      <w:r w:rsidRPr="003122A3">
        <w:rPr>
          <w:rFonts w:ascii="Times New Roman" w:hAnsi="Times New Roman" w:cs="Times New Roman"/>
          <w:sz w:val="24"/>
          <w:szCs w:val="24"/>
          <w:vertAlign w:val="superscript"/>
          <w:rtl/>
        </w:rPr>
        <w:t xml:space="preserve"> </w:t>
      </w:r>
      <w:r w:rsidRPr="003122A3">
        <w:rPr>
          <w:rFonts w:ascii="Times New Roman" w:hAnsi="Times New Roman" w:cs="Times New Roman"/>
          <w:sz w:val="24"/>
          <w:szCs w:val="24"/>
          <w:vertAlign w:val="superscript"/>
          <w:rtl/>
        </w:rPr>
        <w:footnoteReference w:id="18"/>
      </w:r>
    </w:p>
    <w:p w:rsidR="00CF5CE2" w:rsidRPr="003122A3" w:rsidRDefault="00CF5CE2" w:rsidP="00CF5CE2">
      <w:pPr>
        <w:spacing w:after="0" w:line="240" w:lineRule="auto"/>
        <w:jc w:val="both"/>
        <w:rPr>
          <w:rFonts w:ascii="Times New Roman" w:hAnsi="Times New Roman" w:cs="Times New Roman"/>
          <w:sz w:val="24"/>
          <w:szCs w:val="24"/>
          <w:rtl/>
        </w:rPr>
      </w:pPr>
    </w:p>
    <w:p w:rsidR="00D1104C" w:rsidRPr="003122A3" w:rsidRDefault="002775A9" w:rsidP="004F2F39">
      <w:pPr>
        <w:pStyle w:val="Heading2"/>
        <w:ind w:firstLineChars="0" w:firstLine="0"/>
        <w:jc w:val="left"/>
        <w:rPr>
          <w:rFonts w:ascii="Times New Roman" w:hAnsi="Times New Roman" w:cs="Times New Roman"/>
          <w:sz w:val="24"/>
          <w:szCs w:val="24"/>
        </w:rPr>
      </w:pPr>
      <w:bookmarkStart w:id="32" w:name="_Toc420244976"/>
      <w:r w:rsidRPr="003122A3">
        <w:rPr>
          <w:rFonts w:ascii="Times New Roman" w:hAnsi="Times New Roman" w:cs="Times New Roman"/>
          <w:sz w:val="24"/>
          <w:szCs w:val="24"/>
        </w:rPr>
        <w:t>3.8 Density of Students in Classrooms in the West Bank and Gaza Strip in 2013/2014</w:t>
      </w:r>
      <w:bookmarkEnd w:id="32"/>
    </w:p>
    <w:p w:rsidR="004F2F39" w:rsidRPr="00CF5CE2" w:rsidRDefault="004F2F39" w:rsidP="00CF5CE2">
      <w:pPr>
        <w:spacing w:after="0" w:line="240" w:lineRule="auto"/>
        <w:jc w:val="both"/>
        <w:rPr>
          <w:rFonts w:ascii="Times New Roman" w:hAnsi="Times New Roman" w:cs="Times New Roman"/>
          <w:sz w:val="24"/>
          <w:szCs w:val="24"/>
        </w:rPr>
      </w:pPr>
    </w:p>
    <w:p w:rsidR="002775A9" w:rsidRDefault="002775A9"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Overcrowding in the classroom decreases opportunities for participation and interaction and impacts a teacher's ability to control the class, which in turn can impede understanding, comprehension and academic performance.</w:t>
      </w:r>
    </w:p>
    <w:p w:rsidR="00CF5CE2" w:rsidRPr="003122A3" w:rsidRDefault="00CF5CE2" w:rsidP="00CF5CE2">
      <w:pPr>
        <w:spacing w:after="0" w:line="240" w:lineRule="auto"/>
        <w:jc w:val="both"/>
        <w:rPr>
          <w:rFonts w:ascii="Times New Roman" w:hAnsi="Times New Roman" w:cs="Times New Roman"/>
          <w:sz w:val="24"/>
          <w:szCs w:val="24"/>
        </w:rPr>
      </w:pPr>
    </w:p>
    <w:p w:rsidR="002775A9" w:rsidRPr="003122A3" w:rsidRDefault="002775A9" w:rsidP="002B218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Density in classrooms is relatively high, </w:t>
      </w:r>
      <w:proofErr w:type="spellStart"/>
      <w:r w:rsidRPr="003122A3">
        <w:rPr>
          <w:rFonts w:ascii="Times New Roman" w:hAnsi="Times New Roman" w:cs="Times New Roman"/>
          <w:sz w:val="24"/>
          <w:szCs w:val="24"/>
        </w:rPr>
        <w:t>particulary</w:t>
      </w:r>
      <w:proofErr w:type="spellEnd"/>
      <w:r w:rsidRPr="003122A3">
        <w:rPr>
          <w:rFonts w:ascii="Times New Roman" w:hAnsi="Times New Roman" w:cs="Times New Roman"/>
          <w:sz w:val="24"/>
          <w:szCs w:val="24"/>
        </w:rPr>
        <w:t xml:space="preserve"> in UNRWA schools entailing the need to increasing the number of classrooms available to absorb the additional students. Classroom density in Palestine decreased from 2009</w:t>
      </w:r>
      <w:r w:rsidR="00F0697F" w:rsidRPr="003122A3">
        <w:rPr>
          <w:rFonts w:ascii="Times New Roman" w:hAnsi="Times New Roman" w:cs="Times New Roman"/>
          <w:sz w:val="24"/>
          <w:szCs w:val="24"/>
        </w:rPr>
        <w:t>/</w:t>
      </w:r>
      <w:r w:rsidRPr="003122A3">
        <w:rPr>
          <w:rFonts w:ascii="Times New Roman" w:hAnsi="Times New Roman" w:cs="Times New Roman"/>
          <w:sz w:val="24"/>
          <w:szCs w:val="24"/>
        </w:rPr>
        <w:t xml:space="preserve">2010 up to 2013/2014, but classrooms in government and UNRWA schools </w:t>
      </w:r>
      <w:r w:rsidR="00AB18E1" w:rsidRPr="003122A3">
        <w:rPr>
          <w:rFonts w:ascii="Times New Roman" w:hAnsi="Times New Roman" w:cs="Times New Roman"/>
          <w:sz w:val="24"/>
          <w:szCs w:val="24"/>
        </w:rPr>
        <w:t>mainly in primary stage. The average number of students per classroom in government and UNRWA schools for the 2013/2014 academic year stood at 30.</w:t>
      </w:r>
      <w:r w:rsidR="002B2182">
        <w:rPr>
          <w:rFonts w:ascii="Times New Roman" w:hAnsi="Times New Roman" w:cs="Times New Roman"/>
          <w:sz w:val="24"/>
          <w:szCs w:val="24"/>
        </w:rPr>
        <w:t>8</w:t>
      </w:r>
      <w:r w:rsidR="00AB18E1" w:rsidRPr="003122A3">
        <w:rPr>
          <w:rFonts w:ascii="Times New Roman" w:hAnsi="Times New Roman" w:cs="Times New Roman"/>
          <w:sz w:val="24"/>
          <w:szCs w:val="24"/>
        </w:rPr>
        <w:t xml:space="preserve"> in basic stage compared with 26.2 in secondary stage. Overcrowding is </w:t>
      </w:r>
      <w:proofErr w:type="spellStart"/>
      <w:r w:rsidR="00AB18E1" w:rsidRPr="003122A3">
        <w:rPr>
          <w:rFonts w:ascii="Times New Roman" w:hAnsi="Times New Roman" w:cs="Times New Roman"/>
          <w:sz w:val="24"/>
          <w:szCs w:val="24"/>
        </w:rPr>
        <w:t>grerater</w:t>
      </w:r>
      <w:proofErr w:type="spellEnd"/>
      <w:r w:rsidR="00AB18E1" w:rsidRPr="003122A3">
        <w:rPr>
          <w:rFonts w:ascii="Times New Roman" w:hAnsi="Times New Roman" w:cs="Times New Roman"/>
          <w:sz w:val="24"/>
          <w:szCs w:val="24"/>
        </w:rPr>
        <w:t xml:space="preserve"> </w:t>
      </w:r>
      <w:r w:rsidR="00A91E3A">
        <w:rPr>
          <w:rFonts w:ascii="Times New Roman" w:hAnsi="Times New Roman" w:cs="Times New Roman"/>
          <w:sz w:val="24"/>
          <w:szCs w:val="24"/>
        </w:rPr>
        <w:t>in Gaza Strip</w:t>
      </w:r>
      <w:r w:rsidR="00AB18E1" w:rsidRPr="003122A3">
        <w:rPr>
          <w:rFonts w:ascii="Times New Roman" w:hAnsi="Times New Roman" w:cs="Times New Roman"/>
          <w:sz w:val="24"/>
          <w:szCs w:val="24"/>
        </w:rPr>
        <w:t xml:space="preserve"> than the West Bank; UNRWA schools and schools in East Jerusalem and Gaza have shortage of classrooms. Average classroom density in countries of the Organization for Economic Cooperation and Development for 2005 were 21.7 students at </w:t>
      </w:r>
      <w:proofErr w:type="spellStart"/>
      <w:r w:rsidR="00AB18E1" w:rsidRPr="003122A3">
        <w:rPr>
          <w:rFonts w:ascii="Times New Roman" w:hAnsi="Times New Roman" w:cs="Times New Roman"/>
          <w:sz w:val="24"/>
          <w:szCs w:val="24"/>
        </w:rPr>
        <w:t>prmary</w:t>
      </w:r>
      <w:proofErr w:type="spellEnd"/>
      <w:r w:rsidR="00AB18E1" w:rsidRPr="003122A3">
        <w:rPr>
          <w:rFonts w:ascii="Times New Roman" w:hAnsi="Times New Roman" w:cs="Times New Roman"/>
          <w:sz w:val="24"/>
          <w:szCs w:val="24"/>
        </w:rPr>
        <w:t xml:space="preserve"> school in government schools and 23.8 students in secondary schools. Density in Palestinian schools, therefore, is relatively high. </w:t>
      </w:r>
      <w:r w:rsidR="00AB18E1" w:rsidRPr="003122A3">
        <w:rPr>
          <w:rStyle w:val="FootnoteReference"/>
          <w:rFonts w:ascii="Times New Roman" w:hAnsi="Times New Roman" w:cs="Times New Roman"/>
          <w:sz w:val="24"/>
          <w:szCs w:val="24"/>
        </w:rPr>
        <w:footnoteReference w:id="19"/>
      </w:r>
    </w:p>
    <w:p w:rsidR="004F2F39" w:rsidRPr="003122A3" w:rsidRDefault="004F2F39" w:rsidP="008E657F">
      <w:pPr>
        <w:jc w:val="both"/>
        <w:rPr>
          <w:rFonts w:ascii="Times New Roman" w:hAnsi="Times New Roman" w:cs="Times New Roman"/>
          <w:sz w:val="24"/>
          <w:szCs w:val="24"/>
        </w:rPr>
      </w:pPr>
    </w:p>
    <w:p w:rsidR="00AB18E1" w:rsidRPr="003122A3" w:rsidRDefault="00DA2E36" w:rsidP="00055EB0">
      <w:pPr>
        <w:pStyle w:val="Caption"/>
        <w:bidi w:val="0"/>
        <w:rPr>
          <w:b w:val="0"/>
          <w:bCs w:val="0"/>
          <w:sz w:val="22"/>
          <w:szCs w:val="22"/>
        </w:rPr>
      </w:pPr>
      <w:bookmarkStart w:id="33" w:name="_Toc420268227"/>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13</w:t>
      </w:r>
      <w:r w:rsidR="008F57C8" w:rsidRPr="003122A3">
        <w:rPr>
          <w:sz w:val="22"/>
          <w:szCs w:val="24"/>
        </w:rPr>
        <w:fldChar w:fldCharType="end"/>
      </w:r>
      <w:r w:rsidRPr="003122A3">
        <w:rPr>
          <w:sz w:val="22"/>
          <w:szCs w:val="24"/>
        </w:rPr>
        <w:t>: Classroom Density by Region, Academic Stage and Supervisory Authority for Selected School Years</w:t>
      </w:r>
      <w:bookmarkEnd w:id="33"/>
    </w:p>
    <w:p w:rsidR="00AC58EB" w:rsidRPr="003122A3" w:rsidRDefault="00AC58EB" w:rsidP="00055EB0">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496560" cy="2495550"/>
            <wp:effectExtent l="19050" t="0" r="27940" b="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66048B" w:rsidRPr="003122A3" w:rsidRDefault="0066048B" w:rsidP="008907F9">
      <w:pPr>
        <w:jc w:val="both"/>
        <w:rPr>
          <w:rFonts w:ascii="Times New Roman" w:hAnsi="Times New Roman" w:cs="Times New Roman"/>
          <w:b/>
          <w:bCs/>
          <w:sz w:val="24"/>
          <w:szCs w:val="24"/>
          <w:rtl/>
        </w:rPr>
      </w:pPr>
      <w:r w:rsidRPr="003122A3">
        <w:rPr>
          <w:rFonts w:ascii="Times New Roman" w:hAnsi="Times New Roman" w:cs="Times New Roman"/>
          <w:sz w:val="18"/>
          <w:szCs w:val="18"/>
          <w:rtl/>
        </w:rPr>
        <w:t xml:space="preserve">   </w:t>
      </w:r>
      <w:r w:rsidR="004F2F39" w:rsidRPr="003122A3">
        <w:rPr>
          <w:rFonts w:ascii="Times New Roman" w:hAnsi="Times New Roman" w:cs="Times New Roman"/>
          <w:sz w:val="18"/>
          <w:szCs w:val="18"/>
        </w:rPr>
        <w:t xml:space="preserve">           </w:t>
      </w:r>
      <w:r w:rsidR="00AB18E1" w:rsidRPr="003122A3">
        <w:rPr>
          <w:rFonts w:ascii="Times New Roman" w:hAnsi="Times New Roman" w:cs="Times New Roman"/>
          <w:sz w:val="18"/>
          <w:szCs w:val="18"/>
        </w:rPr>
        <w:t>Source: Ministry of Education, Education Survey Database for the years 2009</w:t>
      </w:r>
      <w:r w:rsidR="008907F9">
        <w:rPr>
          <w:rFonts w:ascii="Times New Roman" w:hAnsi="Times New Roman" w:cs="Times New Roman"/>
          <w:sz w:val="18"/>
          <w:szCs w:val="18"/>
        </w:rPr>
        <w:t>/</w:t>
      </w:r>
      <w:r w:rsidR="00AB18E1" w:rsidRPr="003122A3">
        <w:rPr>
          <w:rFonts w:ascii="Times New Roman" w:hAnsi="Times New Roman" w:cs="Times New Roman"/>
          <w:sz w:val="18"/>
          <w:szCs w:val="18"/>
        </w:rPr>
        <w:t>2010 – 2013/2014</w:t>
      </w:r>
    </w:p>
    <w:p w:rsidR="00CF5CE2" w:rsidRDefault="00CF5CE2" w:rsidP="006D4CEB">
      <w:pPr>
        <w:pStyle w:val="Heading2"/>
        <w:ind w:firstLineChars="0" w:firstLine="0"/>
        <w:jc w:val="left"/>
        <w:rPr>
          <w:rFonts w:ascii="Times New Roman" w:hAnsi="Times New Roman" w:cs="Times New Roman"/>
          <w:sz w:val="24"/>
          <w:szCs w:val="24"/>
        </w:rPr>
      </w:pPr>
      <w:bookmarkStart w:id="34" w:name="_Toc420244977"/>
    </w:p>
    <w:p w:rsidR="00CF5CE2" w:rsidRDefault="00CF5CE2" w:rsidP="00CF5CE2">
      <w:pPr>
        <w:rPr>
          <w:lang w:eastAsia="ar-SA"/>
        </w:rPr>
      </w:pPr>
    </w:p>
    <w:p w:rsidR="008907F9" w:rsidRPr="00CF5CE2" w:rsidRDefault="008907F9" w:rsidP="00CF5CE2">
      <w:pPr>
        <w:rPr>
          <w:lang w:eastAsia="ar-SA"/>
        </w:rPr>
      </w:pPr>
    </w:p>
    <w:p w:rsidR="00355A62" w:rsidRPr="003122A3" w:rsidRDefault="00AB18E1" w:rsidP="006D4CEB">
      <w:pPr>
        <w:pStyle w:val="Heading2"/>
        <w:ind w:firstLineChars="0" w:firstLine="0"/>
        <w:jc w:val="left"/>
        <w:rPr>
          <w:rFonts w:ascii="Times New Roman" w:hAnsi="Times New Roman" w:cs="Times New Roman"/>
          <w:sz w:val="24"/>
          <w:szCs w:val="24"/>
        </w:rPr>
      </w:pPr>
      <w:r w:rsidRPr="003122A3">
        <w:rPr>
          <w:rFonts w:ascii="Times New Roman" w:hAnsi="Times New Roman" w:cs="Times New Roman"/>
          <w:sz w:val="24"/>
          <w:szCs w:val="24"/>
        </w:rPr>
        <w:t>3.9 Provision of Specialized Classrooms 2012/2013</w:t>
      </w:r>
      <w:bookmarkEnd w:id="34"/>
    </w:p>
    <w:p w:rsidR="006D4CEB" w:rsidRPr="00CF5CE2" w:rsidRDefault="006D4CEB" w:rsidP="00CF5CE2">
      <w:pPr>
        <w:spacing w:after="0" w:line="240" w:lineRule="auto"/>
        <w:jc w:val="both"/>
        <w:rPr>
          <w:rFonts w:ascii="Times New Roman" w:hAnsi="Times New Roman" w:cs="Times New Roman"/>
          <w:sz w:val="24"/>
          <w:szCs w:val="24"/>
          <w:rtl/>
        </w:rPr>
      </w:pPr>
    </w:p>
    <w:p w:rsidR="00CE13D1" w:rsidRDefault="00CE13D1"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availability and use of technological laboratories and libraries are crucial indicators of the quality of education. Palestine has specialized classrooms including computer laboratories in 78.1% of schools, libraries in 76.1% of schools, science laboratories in 67.0% of schools. Distribution between the West Bank and Gaza Strip came as follows: West Bank (73.6%, 73.5% and 66.2%) respectively; and the Gaza Strip (91.4%, 83.6% and 69.3%) respectively</w:t>
      </w:r>
      <w:r w:rsidRPr="003122A3">
        <w:rPr>
          <w:rStyle w:val="FootnoteReference"/>
          <w:rFonts w:ascii="Times New Roman" w:hAnsi="Times New Roman" w:cs="Times New Roman"/>
          <w:sz w:val="24"/>
          <w:szCs w:val="24"/>
          <w:rtl/>
        </w:rPr>
        <w:footnoteReference w:id="20"/>
      </w:r>
    </w:p>
    <w:p w:rsidR="00CF5CE2" w:rsidRPr="003122A3" w:rsidRDefault="00CF5CE2" w:rsidP="00CF5CE2">
      <w:pPr>
        <w:spacing w:after="0" w:line="240" w:lineRule="auto"/>
        <w:jc w:val="both"/>
        <w:rPr>
          <w:rFonts w:ascii="Times New Roman" w:hAnsi="Times New Roman" w:cs="Times New Roman"/>
          <w:sz w:val="24"/>
          <w:szCs w:val="24"/>
          <w:rtl/>
        </w:rPr>
      </w:pPr>
    </w:p>
    <w:p w:rsidR="00CE13D1" w:rsidRDefault="00CE13D1" w:rsidP="00E47C54">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Although the percentage of schools with computers in Gaza is greater than in the West Bank, an average of 28.5 students share a computer (</w:t>
      </w:r>
      <w:r w:rsidR="00E47C54">
        <w:rPr>
          <w:rFonts w:ascii="Times New Roman" w:hAnsi="Times New Roman" w:cs="Times New Roman"/>
          <w:sz w:val="24"/>
          <w:szCs w:val="24"/>
        </w:rPr>
        <w:t>23</w:t>
      </w:r>
      <w:r w:rsidRPr="003122A3">
        <w:rPr>
          <w:rFonts w:ascii="Times New Roman" w:hAnsi="Times New Roman" w:cs="Times New Roman"/>
          <w:sz w:val="24"/>
          <w:szCs w:val="24"/>
        </w:rPr>
        <w:t>.2 in West Bank and 42.4 in Gaza). The percentage of UNRWA schools with computer lab is higher than that of public schools, a comparison of the number of students sharing a computer in UNRWA schools is still high compared to government and private schools (being 43.3, 27.</w:t>
      </w:r>
      <w:r w:rsidR="005953B9" w:rsidRPr="003122A3">
        <w:rPr>
          <w:rFonts w:ascii="Times New Roman" w:hAnsi="Times New Roman" w:cs="Times New Roman"/>
          <w:sz w:val="24"/>
          <w:szCs w:val="24"/>
        </w:rPr>
        <w:t>4</w:t>
      </w:r>
      <w:r w:rsidRPr="003122A3">
        <w:rPr>
          <w:rFonts w:ascii="Times New Roman" w:hAnsi="Times New Roman" w:cs="Times New Roman"/>
          <w:sz w:val="24"/>
          <w:szCs w:val="24"/>
        </w:rPr>
        <w:t xml:space="preserve"> and 17.</w:t>
      </w:r>
      <w:r w:rsidR="005953B9" w:rsidRPr="003122A3">
        <w:rPr>
          <w:rFonts w:ascii="Times New Roman" w:hAnsi="Times New Roman" w:cs="Times New Roman"/>
          <w:sz w:val="24"/>
          <w:szCs w:val="24"/>
        </w:rPr>
        <w:t>5</w:t>
      </w:r>
      <w:r w:rsidRPr="003122A3">
        <w:rPr>
          <w:rFonts w:ascii="Times New Roman" w:hAnsi="Times New Roman" w:cs="Times New Roman"/>
          <w:sz w:val="24"/>
          <w:szCs w:val="24"/>
        </w:rPr>
        <w:t xml:space="preserve"> students per computer respectively). Generally speaking, the number of schools with computer labs and libraries is higher than the number of schools with science labs. In considering this indicator, it is important to determine the status of these laboratories in terms of availability of materials and equipment and their suitability and frequency of use by students and teachers. Most students in Gaza are run by UNRWA with the result that these two indicators are linked.</w:t>
      </w:r>
    </w:p>
    <w:p w:rsidR="00CF5CE2" w:rsidRPr="003122A3" w:rsidRDefault="00CF5CE2" w:rsidP="00CF5CE2">
      <w:pPr>
        <w:spacing w:after="0" w:line="240" w:lineRule="auto"/>
        <w:jc w:val="both"/>
        <w:rPr>
          <w:rFonts w:ascii="Times New Roman" w:hAnsi="Times New Roman" w:cs="Times New Roman"/>
          <w:sz w:val="24"/>
          <w:szCs w:val="24"/>
          <w:rtl/>
        </w:rPr>
      </w:pPr>
    </w:p>
    <w:p w:rsidR="00CE13D1" w:rsidRDefault="00CE13D1" w:rsidP="00CF5CE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Ministry of Education data for the 2012/2013 academic year show that 50.8% of </w:t>
      </w:r>
      <w:proofErr w:type="spellStart"/>
      <w:r w:rsidRPr="003122A3">
        <w:rPr>
          <w:rFonts w:ascii="Times New Roman" w:hAnsi="Times New Roman" w:cs="Times New Roman"/>
          <w:sz w:val="24"/>
          <w:szCs w:val="24"/>
        </w:rPr>
        <w:t>elementray</w:t>
      </w:r>
      <w:proofErr w:type="spellEnd"/>
      <w:r w:rsidRPr="003122A3">
        <w:rPr>
          <w:rFonts w:ascii="Times New Roman" w:hAnsi="Times New Roman" w:cs="Times New Roman"/>
          <w:sz w:val="24"/>
          <w:szCs w:val="24"/>
        </w:rPr>
        <w:t xml:space="preserve"> government schools in the West Bank have Internet compared with 43.0% in secondary stage. Almost all schools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have Internet access and 99.0% of UNRWA schools in the West Bank and Gaza are connected to the Internet, while 68.0% of private primary schools are connected and 95.0% of private secondary schools have Internet access in the West Bank and Gaza Strip.</w:t>
      </w:r>
    </w:p>
    <w:p w:rsidR="00CF5CE2" w:rsidRPr="003122A3" w:rsidRDefault="00CF5CE2" w:rsidP="00CF5CE2">
      <w:pPr>
        <w:spacing w:after="0" w:line="240" w:lineRule="auto"/>
        <w:jc w:val="both"/>
        <w:rPr>
          <w:rFonts w:ascii="Times New Roman" w:hAnsi="Times New Roman" w:cs="Times New Roman"/>
          <w:sz w:val="24"/>
          <w:szCs w:val="24"/>
          <w:rtl/>
        </w:rPr>
      </w:pPr>
    </w:p>
    <w:p w:rsidR="00CE13D1" w:rsidRDefault="00CE13D1" w:rsidP="008E657F">
      <w:pPr>
        <w:jc w:val="both"/>
        <w:rPr>
          <w:rStyle w:val="Heading2Char"/>
          <w:rFonts w:ascii="Times New Roman" w:hAnsi="Times New Roman" w:cs="Times New Roman"/>
          <w:sz w:val="24"/>
          <w:szCs w:val="24"/>
        </w:rPr>
      </w:pPr>
      <w:bookmarkStart w:id="35" w:name="_Toc420244978"/>
      <w:r w:rsidRPr="003122A3">
        <w:rPr>
          <w:rStyle w:val="Heading2Char"/>
          <w:rFonts w:ascii="Times New Roman" w:hAnsi="Times New Roman" w:cs="Times New Roman"/>
          <w:sz w:val="24"/>
          <w:szCs w:val="24"/>
        </w:rPr>
        <w:t>3.10 Schools by Main Source of Water, Electricity and Wastewater Drainage</w:t>
      </w:r>
      <w:bookmarkEnd w:id="35"/>
      <w:r w:rsidR="005953B9" w:rsidRPr="003122A3">
        <w:rPr>
          <w:rStyle w:val="Heading2Char"/>
          <w:rFonts w:ascii="Times New Roman" w:hAnsi="Times New Roman" w:cs="Times New Roman"/>
          <w:sz w:val="24"/>
          <w:szCs w:val="24"/>
        </w:rPr>
        <w:t xml:space="preserve"> 2012-2013</w:t>
      </w:r>
      <w:r w:rsidRPr="003122A3">
        <w:rPr>
          <w:rStyle w:val="FootnoteReference"/>
          <w:rFonts w:ascii="Times New Roman" w:hAnsi="Times New Roman" w:cs="Times New Roman"/>
          <w:sz w:val="24"/>
          <w:szCs w:val="24"/>
        </w:rPr>
        <w:footnoteReference w:id="21"/>
      </w:r>
    </w:p>
    <w:p w:rsidR="00CA47E2" w:rsidRDefault="00CE13D1" w:rsidP="009F751C">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physical environment of the school affects the academic performance of students and the quality of education. Data indicate that basic infrastructure is available in most schools in the West Bank and Gaza Strip. </w:t>
      </w:r>
      <w:proofErr w:type="spellStart"/>
      <w:r w:rsidRPr="003122A3">
        <w:rPr>
          <w:rFonts w:ascii="Times New Roman" w:hAnsi="Times New Roman" w:cs="Times New Roman"/>
          <w:sz w:val="24"/>
          <w:szCs w:val="24"/>
        </w:rPr>
        <w:t>Electircity</w:t>
      </w:r>
      <w:proofErr w:type="spellEnd"/>
      <w:r w:rsidRPr="003122A3">
        <w:rPr>
          <w:rFonts w:ascii="Times New Roman" w:hAnsi="Times New Roman" w:cs="Times New Roman"/>
          <w:sz w:val="24"/>
          <w:szCs w:val="24"/>
        </w:rPr>
        <w:t xml:space="preserve"> is not available in 0.3% of schools in the West Bank only, with the highest percentage of these schools (1.5%) in south Hebron, followed by Bethlehem (1.2%) and Jerusalem (0.9%). Most schools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are connected to public water and sewage network and are all connected to public electricity network. Connection to infrastructure is higher than in the West Bank.</w:t>
      </w:r>
    </w:p>
    <w:p w:rsidR="009F751C" w:rsidRPr="003122A3" w:rsidRDefault="009F751C" w:rsidP="009F751C">
      <w:pPr>
        <w:spacing w:after="0" w:line="240" w:lineRule="auto"/>
        <w:jc w:val="both"/>
        <w:rPr>
          <w:rFonts w:ascii="Times New Roman" w:hAnsi="Times New Roman" w:cs="Times New Roman"/>
          <w:sz w:val="24"/>
          <w:szCs w:val="24"/>
          <w:rtl/>
        </w:rPr>
      </w:pPr>
    </w:p>
    <w:p w:rsidR="00275778" w:rsidRPr="003122A3" w:rsidRDefault="00275778" w:rsidP="00055EB0">
      <w:pPr>
        <w:pStyle w:val="Caption"/>
        <w:keepNext/>
        <w:bidi w:val="0"/>
        <w:rPr>
          <w:sz w:val="22"/>
          <w:szCs w:val="22"/>
        </w:rPr>
      </w:pPr>
      <w:bookmarkStart w:id="36" w:name="_Toc420269299"/>
      <w:r w:rsidRPr="003122A3">
        <w:rPr>
          <w:sz w:val="22"/>
          <w:szCs w:val="22"/>
        </w:rPr>
        <w:t>Table</w:t>
      </w:r>
      <w:r w:rsidR="00452E62"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w:t>
      </w:r>
      <w:r w:rsidR="008F57C8" w:rsidRPr="003122A3">
        <w:rPr>
          <w:sz w:val="22"/>
          <w:szCs w:val="22"/>
          <w:rtl/>
        </w:rPr>
        <w:fldChar w:fldCharType="end"/>
      </w:r>
      <w:r w:rsidRPr="003122A3">
        <w:rPr>
          <w:sz w:val="22"/>
          <w:szCs w:val="22"/>
        </w:rPr>
        <w:t>: Percentage of Schools by Main Source of Water, Electricity and Wastewater Drainage in 2012/2013</w:t>
      </w:r>
      <w:bookmarkEnd w:id="36"/>
    </w:p>
    <w:tbl>
      <w:tblPr>
        <w:tblStyle w:val="LightShading-Accent13"/>
        <w:tblW w:w="0" w:type="auto"/>
        <w:jc w:val="center"/>
        <w:tblLook w:val="04A0"/>
      </w:tblPr>
      <w:tblGrid>
        <w:gridCol w:w="1314"/>
        <w:gridCol w:w="1327"/>
        <w:gridCol w:w="1308"/>
        <w:gridCol w:w="1340"/>
        <w:gridCol w:w="1340"/>
        <w:gridCol w:w="1333"/>
        <w:gridCol w:w="1307"/>
      </w:tblGrid>
      <w:tr w:rsidR="00CE13D1" w:rsidRPr="003122A3" w:rsidTr="00873DF5">
        <w:trPr>
          <w:cnfStyle w:val="100000000000"/>
          <w:jc w:val="center"/>
        </w:trPr>
        <w:tc>
          <w:tcPr>
            <w:cnfStyle w:val="001000000000"/>
            <w:tcW w:w="1314" w:type="dxa"/>
            <w:tcBorders>
              <w:top w:val="single" w:sz="4" w:space="0" w:color="auto"/>
              <w:left w:val="single" w:sz="4" w:space="0" w:color="auto"/>
              <w:bottom w:val="single" w:sz="4" w:space="0" w:color="auto"/>
              <w:right w:val="single" w:sz="4" w:space="0" w:color="auto"/>
            </w:tcBorders>
          </w:tcPr>
          <w:p w:rsidR="00CE13D1" w:rsidRPr="003122A3" w:rsidRDefault="00CE13D1" w:rsidP="006D4CEB">
            <w:pPr>
              <w:spacing w:line="360" w:lineRule="auto"/>
              <w:jc w:val="center"/>
              <w:rPr>
                <w:rFonts w:ascii="Times New Roman" w:hAnsi="Times New Roman" w:cs="Times New Roman"/>
                <w:b w:val="0"/>
                <w:bCs w:val="0"/>
                <w:color w:val="auto"/>
              </w:rPr>
            </w:pPr>
            <w:r w:rsidRPr="003122A3">
              <w:rPr>
                <w:rFonts w:ascii="Times New Roman" w:hAnsi="Times New Roman" w:cs="Times New Roman"/>
                <w:b w:val="0"/>
                <w:bCs w:val="0"/>
                <w:color w:val="auto"/>
              </w:rPr>
              <w:t>Region</w:t>
            </w:r>
          </w:p>
        </w:tc>
        <w:tc>
          <w:tcPr>
            <w:tcW w:w="1327" w:type="dxa"/>
            <w:tcBorders>
              <w:top w:val="single" w:sz="4" w:space="0" w:color="auto"/>
              <w:left w:val="single" w:sz="4" w:space="0" w:color="auto"/>
              <w:bottom w:val="single" w:sz="4" w:space="0" w:color="auto"/>
              <w:right w:val="single" w:sz="4" w:space="0" w:color="auto"/>
            </w:tcBorders>
          </w:tcPr>
          <w:p w:rsidR="00CE13D1" w:rsidRPr="003122A3" w:rsidRDefault="00CE13D1" w:rsidP="006D4CEB">
            <w:pPr>
              <w:spacing w:line="360" w:lineRule="auto"/>
              <w:jc w:val="center"/>
              <w:cnfStyle w:val="100000000000"/>
              <w:rPr>
                <w:rFonts w:ascii="Times New Roman" w:hAnsi="Times New Roman" w:cs="Times New Roman"/>
                <w:b w:val="0"/>
                <w:bCs w:val="0"/>
                <w:color w:val="auto"/>
              </w:rPr>
            </w:pPr>
            <w:r w:rsidRPr="003122A3">
              <w:rPr>
                <w:rFonts w:ascii="Times New Roman" w:hAnsi="Times New Roman" w:cs="Times New Roman"/>
                <w:b w:val="0"/>
                <w:bCs w:val="0"/>
                <w:color w:val="auto"/>
              </w:rPr>
              <w:t>Public Water Network</w:t>
            </w:r>
          </w:p>
        </w:tc>
        <w:tc>
          <w:tcPr>
            <w:tcW w:w="1308" w:type="dxa"/>
            <w:tcBorders>
              <w:top w:val="single" w:sz="4" w:space="0" w:color="auto"/>
              <w:left w:val="single" w:sz="4" w:space="0" w:color="auto"/>
              <w:bottom w:val="single" w:sz="4" w:space="0" w:color="auto"/>
              <w:right w:val="single" w:sz="4" w:space="0" w:color="auto"/>
            </w:tcBorders>
          </w:tcPr>
          <w:p w:rsidR="00CE13D1" w:rsidRPr="003122A3" w:rsidRDefault="00CE13D1" w:rsidP="006D4CEB">
            <w:pPr>
              <w:spacing w:line="360" w:lineRule="auto"/>
              <w:jc w:val="center"/>
              <w:cnfStyle w:val="100000000000"/>
              <w:rPr>
                <w:rFonts w:ascii="Times New Roman" w:hAnsi="Times New Roman" w:cs="Times New Roman"/>
                <w:b w:val="0"/>
                <w:bCs w:val="0"/>
                <w:color w:val="auto"/>
              </w:rPr>
            </w:pPr>
            <w:r w:rsidRPr="003122A3">
              <w:rPr>
                <w:rFonts w:ascii="Times New Roman" w:hAnsi="Times New Roman" w:cs="Times New Roman"/>
                <w:b w:val="0"/>
                <w:bCs w:val="0"/>
                <w:color w:val="auto"/>
              </w:rPr>
              <w:t>Water Tanks</w:t>
            </w:r>
          </w:p>
        </w:tc>
        <w:tc>
          <w:tcPr>
            <w:tcW w:w="1340" w:type="dxa"/>
            <w:tcBorders>
              <w:top w:val="single" w:sz="4" w:space="0" w:color="auto"/>
              <w:left w:val="single" w:sz="4" w:space="0" w:color="auto"/>
              <w:bottom w:val="single" w:sz="4" w:space="0" w:color="auto"/>
              <w:right w:val="single" w:sz="4" w:space="0" w:color="auto"/>
            </w:tcBorders>
          </w:tcPr>
          <w:p w:rsidR="00CE13D1" w:rsidRPr="003122A3" w:rsidRDefault="00CE13D1" w:rsidP="006D4CEB">
            <w:pPr>
              <w:spacing w:line="360" w:lineRule="auto"/>
              <w:jc w:val="center"/>
              <w:cnfStyle w:val="100000000000"/>
              <w:rPr>
                <w:rFonts w:ascii="Times New Roman" w:hAnsi="Times New Roman" w:cs="Times New Roman"/>
                <w:b w:val="0"/>
                <w:bCs w:val="0"/>
                <w:color w:val="auto"/>
              </w:rPr>
            </w:pPr>
            <w:r w:rsidRPr="003122A3">
              <w:rPr>
                <w:rFonts w:ascii="Times New Roman" w:hAnsi="Times New Roman" w:cs="Times New Roman"/>
                <w:b w:val="0"/>
                <w:bCs w:val="0"/>
                <w:color w:val="auto"/>
              </w:rPr>
              <w:t>Public Electricity Network</w:t>
            </w:r>
          </w:p>
        </w:tc>
        <w:tc>
          <w:tcPr>
            <w:tcW w:w="1340" w:type="dxa"/>
            <w:tcBorders>
              <w:top w:val="single" w:sz="4" w:space="0" w:color="auto"/>
              <w:left w:val="single" w:sz="4" w:space="0" w:color="auto"/>
              <w:bottom w:val="single" w:sz="4" w:space="0" w:color="auto"/>
              <w:right w:val="single" w:sz="4" w:space="0" w:color="auto"/>
            </w:tcBorders>
          </w:tcPr>
          <w:p w:rsidR="00CE13D1" w:rsidRPr="003122A3" w:rsidRDefault="00CE13D1" w:rsidP="006D4CEB">
            <w:pPr>
              <w:spacing w:line="360" w:lineRule="auto"/>
              <w:jc w:val="center"/>
              <w:cnfStyle w:val="100000000000"/>
              <w:rPr>
                <w:rFonts w:ascii="Times New Roman" w:hAnsi="Times New Roman" w:cs="Times New Roman"/>
                <w:b w:val="0"/>
                <w:bCs w:val="0"/>
                <w:color w:val="auto"/>
              </w:rPr>
            </w:pPr>
            <w:r w:rsidRPr="003122A3">
              <w:rPr>
                <w:rFonts w:ascii="Times New Roman" w:hAnsi="Times New Roman" w:cs="Times New Roman"/>
                <w:b w:val="0"/>
                <w:bCs w:val="0"/>
                <w:color w:val="auto"/>
              </w:rPr>
              <w:t>Special Power Generator</w:t>
            </w:r>
          </w:p>
        </w:tc>
        <w:tc>
          <w:tcPr>
            <w:tcW w:w="1333" w:type="dxa"/>
            <w:tcBorders>
              <w:top w:val="single" w:sz="4" w:space="0" w:color="auto"/>
              <w:left w:val="single" w:sz="4" w:space="0" w:color="auto"/>
              <w:bottom w:val="single" w:sz="4" w:space="0" w:color="auto"/>
              <w:right w:val="single" w:sz="4" w:space="0" w:color="auto"/>
            </w:tcBorders>
          </w:tcPr>
          <w:p w:rsidR="00CE13D1" w:rsidRPr="003122A3" w:rsidRDefault="00CE13D1" w:rsidP="006D4CEB">
            <w:pPr>
              <w:spacing w:line="360" w:lineRule="auto"/>
              <w:jc w:val="center"/>
              <w:cnfStyle w:val="100000000000"/>
              <w:rPr>
                <w:rFonts w:ascii="Times New Roman" w:hAnsi="Times New Roman" w:cs="Times New Roman"/>
                <w:b w:val="0"/>
                <w:bCs w:val="0"/>
                <w:color w:val="auto"/>
              </w:rPr>
            </w:pPr>
            <w:r w:rsidRPr="003122A3">
              <w:rPr>
                <w:rFonts w:ascii="Times New Roman" w:hAnsi="Times New Roman" w:cs="Times New Roman"/>
                <w:b w:val="0"/>
                <w:bCs w:val="0"/>
                <w:color w:val="auto"/>
              </w:rPr>
              <w:t>Sewerage Network</w:t>
            </w:r>
          </w:p>
        </w:tc>
        <w:tc>
          <w:tcPr>
            <w:tcW w:w="1307" w:type="dxa"/>
            <w:tcBorders>
              <w:top w:val="single" w:sz="4" w:space="0" w:color="auto"/>
              <w:left w:val="single" w:sz="4" w:space="0" w:color="auto"/>
              <w:bottom w:val="single" w:sz="4" w:space="0" w:color="auto"/>
              <w:right w:val="single" w:sz="4" w:space="0" w:color="auto"/>
            </w:tcBorders>
          </w:tcPr>
          <w:p w:rsidR="00CE13D1" w:rsidRPr="003122A3" w:rsidRDefault="00CE13D1" w:rsidP="006D4CEB">
            <w:pPr>
              <w:spacing w:line="360" w:lineRule="auto"/>
              <w:jc w:val="center"/>
              <w:cnfStyle w:val="100000000000"/>
              <w:rPr>
                <w:rFonts w:ascii="Times New Roman" w:hAnsi="Times New Roman" w:cs="Times New Roman"/>
                <w:b w:val="0"/>
                <w:bCs w:val="0"/>
                <w:color w:val="auto"/>
              </w:rPr>
            </w:pPr>
            <w:r w:rsidRPr="003122A3">
              <w:rPr>
                <w:rFonts w:ascii="Times New Roman" w:hAnsi="Times New Roman" w:cs="Times New Roman"/>
                <w:b w:val="0"/>
                <w:bCs w:val="0"/>
                <w:color w:val="auto"/>
              </w:rPr>
              <w:t>Septic Tank</w:t>
            </w:r>
          </w:p>
        </w:tc>
      </w:tr>
      <w:tr w:rsidR="00CE13D1" w:rsidRPr="003122A3" w:rsidTr="00873DF5">
        <w:trPr>
          <w:cnfStyle w:val="000000100000"/>
          <w:jc w:val="center"/>
        </w:trPr>
        <w:tc>
          <w:tcPr>
            <w:cnfStyle w:val="001000000000"/>
            <w:tcW w:w="1314" w:type="dxa"/>
            <w:tcBorders>
              <w:top w:val="single" w:sz="4" w:space="0" w:color="auto"/>
              <w:left w:val="single" w:sz="4" w:space="0" w:color="auto"/>
              <w:bottom w:val="nil"/>
              <w:right w:val="single" w:sz="4" w:space="0" w:color="auto"/>
            </w:tcBorders>
          </w:tcPr>
          <w:p w:rsidR="00CE13D1" w:rsidRPr="003122A3" w:rsidRDefault="00CE13D1" w:rsidP="006D4CEB">
            <w:pPr>
              <w:spacing w:line="360" w:lineRule="auto"/>
              <w:jc w:val="both"/>
              <w:rPr>
                <w:rFonts w:ascii="Times New Roman" w:hAnsi="Times New Roman" w:cs="Times New Roman"/>
                <w:b w:val="0"/>
                <w:bCs w:val="0"/>
                <w:color w:val="auto"/>
              </w:rPr>
            </w:pPr>
            <w:r w:rsidRPr="003122A3">
              <w:rPr>
                <w:rFonts w:ascii="Times New Roman" w:hAnsi="Times New Roman" w:cs="Times New Roman"/>
                <w:b w:val="0"/>
                <w:bCs w:val="0"/>
                <w:color w:val="auto"/>
              </w:rPr>
              <w:t>West Bank</w:t>
            </w:r>
          </w:p>
        </w:tc>
        <w:tc>
          <w:tcPr>
            <w:tcW w:w="1327" w:type="dxa"/>
            <w:tcBorders>
              <w:top w:val="single" w:sz="4" w:space="0" w:color="auto"/>
              <w:left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88.9</w:t>
            </w:r>
          </w:p>
        </w:tc>
        <w:tc>
          <w:tcPr>
            <w:tcW w:w="1308" w:type="dxa"/>
            <w:tcBorders>
              <w:top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4.7</w:t>
            </w:r>
          </w:p>
        </w:tc>
        <w:tc>
          <w:tcPr>
            <w:tcW w:w="1340" w:type="dxa"/>
            <w:tcBorders>
              <w:top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99.3</w:t>
            </w:r>
          </w:p>
        </w:tc>
        <w:tc>
          <w:tcPr>
            <w:tcW w:w="1340" w:type="dxa"/>
            <w:tcBorders>
              <w:top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0.4</w:t>
            </w:r>
          </w:p>
        </w:tc>
        <w:tc>
          <w:tcPr>
            <w:tcW w:w="1333" w:type="dxa"/>
            <w:tcBorders>
              <w:top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35.1</w:t>
            </w:r>
          </w:p>
        </w:tc>
        <w:tc>
          <w:tcPr>
            <w:tcW w:w="1307" w:type="dxa"/>
            <w:tcBorders>
              <w:top w:val="single" w:sz="4" w:space="0" w:color="auto"/>
              <w:right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48.6</w:t>
            </w:r>
          </w:p>
        </w:tc>
      </w:tr>
      <w:tr w:rsidR="00CE13D1" w:rsidRPr="003122A3" w:rsidTr="00873DF5">
        <w:trPr>
          <w:jc w:val="center"/>
        </w:trPr>
        <w:tc>
          <w:tcPr>
            <w:cnfStyle w:val="001000000000"/>
            <w:tcW w:w="1314" w:type="dxa"/>
            <w:tcBorders>
              <w:top w:val="nil"/>
              <w:left w:val="single" w:sz="4" w:space="0" w:color="auto"/>
              <w:bottom w:val="nil"/>
              <w:right w:val="single" w:sz="4" w:space="0" w:color="auto"/>
            </w:tcBorders>
          </w:tcPr>
          <w:p w:rsidR="00CE13D1" w:rsidRPr="003122A3" w:rsidRDefault="00CE13D1" w:rsidP="006D4CEB">
            <w:pPr>
              <w:spacing w:line="360" w:lineRule="auto"/>
              <w:jc w:val="both"/>
              <w:rPr>
                <w:rFonts w:ascii="Times New Roman" w:hAnsi="Times New Roman" w:cs="Times New Roman"/>
                <w:b w:val="0"/>
                <w:bCs w:val="0"/>
                <w:color w:val="auto"/>
              </w:rPr>
            </w:pPr>
            <w:r w:rsidRPr="003122A3">
              <w:rPr>
                <w:rFonts w:ascii="Times New Roman" w:hAnsi="Times New Roman" w:cs="Times New Roman"/>
                <w:b w:val="0"/>
                <w:bCs w:val="0"/>
                <w:color w:val="auto"/>
              </w:rPr>
              <w:t>Gaza Strip</w:t>
            </w:r>
          </w:p>
        </w:tc>
        <w:tc>
          <w:tcPr>
            <w:tcW w:w="1327" w:type="dxa"/>
            <w:tcBorders>
              <w:left w:val="single" w:sz="4" w:space="0" w:color="auto"/>
            </w:tcBorders>
          </w:tcPr>
          <w:p w:rsidR="00CE13D1" w:rsidRPr="003122A3" w:rsidRDefault="00CE13D1" w:rsidP="00883F93">
            <w:pPr>
              <w:spacing w:line="360" w:lineRule="auto"/>
              <w:jc w:val="center"/>
              <w:cnfStyle w:val="000000000000"/>
              <w:rPr>
                <w:rFonts w:ascii="Times New Roman" w:hAnsi="Times New Roman" w:cs="Times New Roman"/>
                <w:color w:val="auto"/>
              </w:rPr>
            </w:pPr>
            <w:r w:rsidRPr="003122A3">
              <w:rPr>
                <w:rFonts w:ascii="Times New Roman" w:hAnsi="Times New Roman" w:cs="Times New Roman"/>
                <w:color w:val="auto"/>
              </w:rPr>
              <w:t>95.5</w:t>
            </w:r>
          </w:p>
        </w:tc>
        <w:tc>
          <w:tcPr>
            <w:tcW w:w="1308" w:type="dxa"/>
          </w:tcPr>
          <w:p w:rsidR="00CE13D1" w:rsidRPr="003122A3" w:rsidRDefault="00CE13D1" w:rsidP="00883F93">
            <w:pPr>
              <w:spacing w:line="360" w:lineRule="auto"/>
              <w:jc w:val="center"/>
              <w:cnfStyle w:val="000000000000"/>
              <w:rPr>
                <w:rFonts w:ascii="Times New Roman" w:hAnsi="Times New Roman" w:cs="Times New Roman"/>
                <w:color w:val="auto"/>
              </w:rPr>
            </w:pPr>
            <w:r w:rsidRPr="003122A3">
              <w:rPr>
                <w:rFonts w:ascii="Times New Roman" w:hAnsi="Times New Roman" w:cs="Times New Roman"/>
                <w:color w:val="auto"/>
              </w:rPr>
              <w:t>1.2</w:t>
            </w:r>
          </w:p>
        </w:tc>
        <w:tc>
          <w:tcPr>
            <w:tcW w:w="1340" w:type="dxa"/>
          </w:tcPr>
          <w:p w:rsidR="00CE13D1" w:rsidRPr="003122A3" w:rsidRDefault="00CE13D1" w:rsidP="00883F93">
            <w:pPr>
              <w:spacing w:line="360" w:lineRule="auto"/>
              <w:jc w:val="center"/>
              <w:cnfStyle w:val="000000000000"/>
              <w:rPr>
                <w:rFonts w:ascii="Times New Roman" w:hAnsi="Times New Roman" w:cs="Times New Roman"/>
                <w:color w:val="auto"/>
              </w:rPr>
            </w:pPr>
            <w:r w:rsidRPr="003122A3">
              <w:rPr>
                <w:rFonts w:ascii="Times New Roman" w:hAnsi="Times New Roman" w:cs="Times New Roman"/>
                <w:color w:val="auto"/>
              </w:rPr>
              <w:t>99.7</w:t>
            </w:r>
          </w:p>
        </w:tc>
        <w:tc>
          <w:tcPr>
            <w:tcW w:w="1340" w:type="dxa"/>
          </w:tcPr>
          <w:p w:rsidR="00CE13D1" w:rsidRPr="003122A3" w:rsidRDefault="00CE13D1" w:rsidP="00883F93">
            <w:pPr>
              <w:spacing w:line="360" w:lineRule="auto"/>
              <w:jc w:val="center"/>
              <w:cnfStyle w:val="000000000000"/>
              <w:rPr>
                <w:rFonts w:ascii="Times New Roman" w:hAnsi="Times New Roman" w:cs="Times New Roman"/>
                <w:color w:val="auto"/>
              </w:rPr>
            </w:pPr>
            <w:r w:rsidRPr="003122A3">
              <w:rPr>
                <w:rFonts w:ascii="Times New Roman" w:hAnsi="Times New Roman" w:cs="Times New Roman"/>
                <w:color w:val="auto"/>
              </w:rPr>
              <w:t>0.3</w:t>
            </w:r>
          </w:p>
        </w:tc>
        <w:tc>
          <w:tcPr>
            <w:tcW w:w="1333" w:type="dxa"/>
          </w:tcPr>
          <w:p w:rsidR="00CE13D1" w:rsidRPr="003122A3" w:rsidRDefault="00CE13D1" w:rsidP="00883F93">
            <w:pPr>
              <w:spacing w:line="360" w:lineRule="auto"/>
              <w:jc w:val="center"/>
              <w:cnfStyle w:val="000000000000"/>
              <w:rPr>
                <w:rFonts w:ascii="Times New Roman" w:hAnsi="Times New Roman" w:cs="Times New Roman"/>
                <w:color w:val="auto"/>
              </w:rPr>
            </w:pPr>
            <w:r w:rsidRPr="003122A3">
              <w:rPr>
                <w:rFonts w:ascii="Times New Roman" w:hAnsi="Times New Roman" w:cs="Times New Roman"/>
                <w:color w:val="auto"/>
              </w:rPr>
              <w:t>83.7</w:t>
            </w:r>
          </w:p>
        </w:tc>
        <w:tc>
          <w:tcPr>
            <w:tcW w:w="1307" w:type="dxa"/>
            <w:tcBorders>
              <w:right w:val="single" w:sz="4" w:space="0" w:color="auto"/>
            </w:tcBorders>
          </w:tcPr>
          <w:p w:rsidR="00CE13D1" w:rsidRPr="003122A3" w:rsidRDefault="00CE13D1" w:rsidP="00883F93">
            <w:pPr>
              <w:spacing w:line="360" w:lineRule="auto"/>
              <w:jc w:val="center"/>
              <w:cnfStyle w:val="000000000000"/>
              <w:rPr>
                <w:rFonts w:ascii="Times New Roman" w:hAnsi="Times New Roman" w:cs="Times New Roman"/>
                <w:color w:val="auto"/>
              </w:rPr>
            </w:pPr>
            <w:r w:rsidRPr="003122A3">
              <w:rPr>
                <w:rFonts w:ascii="Times New Roman" w:hAnsi="Times New Roman" w:cs="Times New Roman"/>
                <w:color w:val="auto"/>
              </w:rPr>
              <w:t>13.0</w:t>
            </w:r>
          </w:p>
        </w:tc>
      </w:tr>
      <w:tr w:rsidR="00CE13D1" w:rsidRPr="003122A3" w:rsidTr="00873DF5">
        <w:trPr>
          <w:cnfStyle w:val="000000100000"/>
          <w:jc w:val="center"/>
        </w:trPr>
        <w:tc>
          <w:tcPr>
            <w:cnfStyle w:val="001000000000"/>
            <w:tcW w:w="1314" w:type="dxa"/>
            <w:tcBorders>
              <w:top w:val="nil"/>
              <w:left w:val="single" w:sz="4" w:space="0" w:color="auto"/>
              <w:bottom w:val="single" w:sz="4" w:space="0" w:color="auto"/>
              <w:right w:val="single" w:sz="4" w:space="0" w:color="auto"/>
            </w:tcBorders>
          </w:tcPr>
          <w:p w:rsidR="00CE13D1" w:rsidRPr="003122A3" w:rsidRDefault="00CE13D1" w:rsidP="006D4CEB">
            <w:pPr>
              <w:spacing w:line="360" w:lineRule="auto"/>
              <w:jc w:val="both"/>
              <w:rPr>
                <w:rFonts w:ascii="Times New Roman" w:hAnsi="Times New Roman" w:cs="Times New Roman"/>
                <w:b w:val="0"/>
                <w:bCs w:val="0"/>
                <w:color w:val="auto"/>
              </w:rPr>
            </w:pPr>
            <w:r w:rsidRPr="003122A3">
              <w:rPr>
                <w:rFonts w:ascii="Times New Roman" w:hAnsi="Times New Roman" w:cs="Times New Roman"/>
                <w:b w:val="0"/>
                <w:bCs w:val="0"/>
                <w:color w:val="auto"/>
              </w:rPr>
              <w:t>Total</w:t>
            </w:r>
          </w:p>
        </w:tc>
        <w:tc>
          <w:tcPr>
            <w:tcW w:w="1327" w:type="dxa"/>
            <w:tcBorders>
              <w:left w:val="single" w:sz="4" w:space="0" w:color="auto"/>
              <w:bottom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90.6</w:t>
            </w:r>
          </w:p>
        </w:tc>
        <w:tc>
          <w:tcPr>
            <w:tcW w:w="1308" w:type="dxa"/>
            <w:tcBorders>
              <w:bottom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3.8</w:t>
            </w:r>
          </w:p>
        </w:tc>
        <w:tc>
          <w:tcPr>
            <w:tcW w:w="1340" w:type="dxa"/>
            <w:tcBorders>
              <w:bottom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99.4</w:t>
            </w:r>
          </w:p>
        </w:tc>
        <w:tc>
          <w:tcPr>
            <w:tcW w:w="1340" w:type="dxa"/>
            <w:tcBorders>
              <w:bottom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0.4</w:t>
            </w:r>
          </w:p>
        </w:tc>
        <w:tc>
          <w:tcPr>
            <w:tcW w:w="1333" w:type="dxa"/>
            <w:tcBorders>
              <w:bottom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47.3</w:t>
            </w:r>
          </w:p>
        </w:tc>
        <w:tc>
          <w:tcPr>
            <w:tcW w:w="1307" w:type="dxa"/>
            <w:tcBorders>
              <w:bottom w:val="single" w:sz="4" w:space="0" w:color="auto"/>
              <w:right w:val="single" w:sz="4" w:space="0" w:color="auto"/>
            </w:tcBorders>
          </w:tcPr>
          <w:p w:rsidR="00CE13D1" w:rsidRPr="003122A3" w:rsidRDefault="00CE13D1" w:rsidP="00883F93">
            <w:pPr>
              <w:spacing w:line="360" w:lineRule="auto"/>
              <w:jc w:val="center"/>
              <w:cnfStyle w:val="000000100000"/>
              <w:rPr>
                <w:rFonts w:ascii="Times New Roman" w:hAnsi="Times New Roman" w:cs="Times New Roman"/>
                <w:color w:val="auto"/>
              </w:rPr>
            </w:pPr>
            <w:r w:rsidRPr="003122A3">
              <w:rPr>
                <w:rFonts w:ascii="Times New Roman" w:hAnsi="Times New Roman" w:cs="Times New Roman"/>
                <w:color w:val="auto"/>
              </w:rPr>
              <w:t>39.6</w:t>
            </w:r>
          </w:p>
        </w:tc>
      </w:tr>
    </w:tbl>
    <w:p w:rsidR="006A4AA1" w:rsidRPr="00363A7A" w:rsidRDefault="00055EB0" w:rsidP="00363A7A">
      <w:pPr>
        <w:jc w:val="both"/>
        <w:rPr>
          <w:rFonts w:ascii="Times New Roman" w:hAnsi="Times New Roman" w:cs="Times New Roman"/>
          <w:b/>
          <w:bCs/>
          <w:sz w:val="18"/>
          <w:szCs w:val="18"/>
          <w:rtl/>
        </w:rPr>
      </w:pPr>
      <w:r w:rsidRPr="00363A7A">
        <w:rPr>
          <w:rFonts w:ascii="Times New Roman" w:hAnsi="Times New Roman" w:cs="Times New Roman"/>
          <w:sz w:val="18"/>
          <w:szCs w:val="18"/>
        </w:rPr>
        <w:t xml:space="preserve"> </w:t>
      </w:r>
      <w:r w:rsidR="006D4CEB" w:rsidRPr="00363A7A">
        <w:rPr>
          <w:rFonts w:ascii="Times New Roman" w:hAnsi="Times New Roman" w:cs="Times New Roman"/>
          <w:sz w:val="18"/>
          <w:szCs w:val="18"/>
        </w:rPr>
        <w:t xml:space="preserve">  </w:t>
      </w:r>
      <w:r w:rsidR="00CE13D1" w:rsidRPr="00363A7A">
        <w:rPr>
          <w:rFonts w:ascii="Times New Roman" w:hAnsi="Times New Roman" w:cs="Times New Roman"/>
          <w:sz w:val="18"/>
          <w:szCs w:val="18"/>
        </w:rPr>
        <w:t>Source: Ministry of Education 2013 Educational Statistics Year Book for the 2012/2013 Academic Year, Ramallah-Palestine, 2013</w:t>
      </w:r>
    </w:p>
    <w:p w:rsidR="00CE13D1" w:rsidRPr="003122A3" w:rsidRDefault="00CE13D1" w:rsidP="006D4CEB">
      <w:pPr>
        <w:pStyle w:val="Heading2"/>
        <w:ind w:firstLineChars="0" w:firstLine="0"/>
        <w:jc w:val="left"/>
        <w:rPr>
          <w:rFonts w:ascii="Times New Roman" w:hAnsi="Times New Roman" w:cs="Times New Roman"/>
          <w:sz w:val="24"/>
          <w:szCs w:val="24"/>
        </w:rPr>
      </w:pPr>
      <w:bookmarkStart w:id="37" w:name="_Toc420244979"/>
      <w:r w:rsidRPr="003122A3">
        <w:rPr>
          <w:rFonts w:ascii="Times New Roman" w:hAnsi="Times New Roman" w:cs="Times New Roman"/>
          <w:sz w:val="24"/>
          <w:szCs w:val="24"/>
        </w:rPr>
        <w:t>3.11 Students per Drinking Water Fountain, Toilet and Hand Basin 2012/2013</w:t>
      </w:r>
      <w:bookmarkEnd w:id="37"/>
      <w:r w:rsidR="00905399">
        <w:rPr>
          <w:rStyle w:val="FootnoteReference"/>
          <w:rFonts w:ascii="Times New Roman" w:hAnsi="Times New Roman" w:cs="Times New Roman"/>
          <w:sz w:val="24"/>
          <w:szCs w:val="24"/>
        </w:rPr>
        <w:footnoteReference w:id="22"/>
      </w:r>
    </w:p>
    <w:p w:rsidR="006D4CEB" w:rsidRPr="009F751C" w:rsidRDefault="006D4CEB" w:rsidP="009F751C">
      <w:pPr>
        <w:spacing w:after="0" w:line="240" w:lineRule="auto"/>
        <w:jc w:val="both"/>
        <w:rPr>
          <w:rFonts w:ascii="Times New Roman" w:hAnsi="Times New Roman" w:cs="Times New Roman"/>
          <w:sz w:val="24"/>
          <w:szCs w:val="24"/>
        </w:rPr>
      </w:pPr>
    </w:p>
    <w:p w:rsidR="00CE13D1" w:rsidRDefault="00CE13D1" w:rsidP="009F751C">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On average 42 students share a single drinking water fountain, 64 students share a toilet and 30 </w:t>
      </w:r>
      <w:proofErr w:type="spellStart"/>
      <w:r w:rsidRPr="003122A3">
        <w:rPr>
          <w:rFonts w:ascii="Times New Roman" w:hAnsi="Times New Roman" w:cs="Times New Roman"/>
          <w:sz w:val="24"/>
          <w:szCs w:val="24"/>
        </w:rPr>
        <w:t>studwents</w:t>
      </w:r>
      <w:proofErr w:type="spellEnd"/>
      <w:r w:rsidRPr="003122A3">
        <w:rPr>
          <w:rFonts w:ascii="Times New Roman" w:hAnsi="Times New Roman" w:cs="Times New Roman"/>
          <w:sz w:val="24"/>
          <w:szCs w:val="24"/>
        </w:rPr>
        <w:t xml:space="preserve"> share a washbasin. The rates were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(58, 73 and 28 respectively) and in the West Bank (35, 31 and 59 respectively).</w:t>
      </w:r>
    </w:p>
    <w:p w:rsidR="009F751C" w:rsidRPr="003122A3" w:rsidRDefault="009F751C" w:rsidP="009F751C">
      <w:pPr>
        <w:spacing w:after="0" w:line="240" w:lineRule="auto"/>
        <w:jc w:val="both"/>
        <w:rPr>
          <w:rFonts w:ascii="Times New Roman" w:hAnsi="Times New Roman" w:cs="Times New Roman"/>
          <w:sz w:val="24"/>
          <w:szCs w:val="24"/>
          <w:rtl/>
        </w:rPr>
      </w:pPr>
    </w:p>
    <w:p w:rsidR="00355A62" w:rsidRPr="003122A3" w:rsidRDefault="004B5A2A" w:rsidP="00452E62">
      <w:pPr>
        <w:pStyle w:val="Heading2"/>
        <w:ind w:firstLineChars="0" w:firstLine="0"/>
        <w:jc w:val="left"/>
        <w:rPr>
          <w:rFonts w:ascii="Times New Roman" w:hAnsi="Times New Roman" w:cs="Times New Roman"/>
          <w:sz w:val="24"/>
          <w:szCs w:val="24"/>
        </w:rPr>
      </w:pPr>
      <w:bookmarkStart w:id="38" w:name="_Toc420244980"/>
      <w:r w:rsidRPr="003122A3">
        <w:rPr>
          <w:rFonts w:ascii="Times New Roman" w:hAnsi="Times New Roman" w:cs="Times New Roman"/>
          <w:sz w:val="24"/>
          <w:szCs w:val="24"/>
        </w:rPr>
        <w:t>3.12 School Counseling</w:t>
      </w:r>
      <w:bookmarkEnd w:id="38"/>
      <w:r w:rsidR="00905399">
        <w:rPr>
          <w:rStyle w:val="FootnoteReference"/>
          <w:rFonts w:ascii="Times New Roman" w:hAnsi="Times New Roman" w:cs="Times New Roman"/>
          <w:sz w:val="24"/>
          <w:szCs w:val="24"/>
        </w:rPr>
        <w:footnoteReference w:id="23"/>
      </w:r>
    </w:p>
    <w:p w:rsidR="00452E62" w:rsidRPr="009F751C" w:rsidRDefault="00452E62" w:rsidP="009F751C">
      <w:pPr>
        <w:spacing w:after="0" w:line="240" w:lineRule="auto"/>
        <w:jc w:val="both"/>
        <w:rPr>
          <w:rFonts w:ascii="Times New Roman" w:hAnsi="Times New Roman" w:cs="Times New Roman"/>
          <w:sz w:val="24"/>
          <w:szCs w:val="24"/>
          <w:rtl/>
        </w:rPr>
      </w:pPr>
    </w:p>
    <w:p w:rsidR="004B5A2A" w:rsidRDefault="004B5A2A" w:rsidP="009F751C">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School counseling plays a vitally important role in protecting students from the negative social, economic and political consequences of their surroundings. Counseling empowers students with tools necessary for survival and development and reduces risks. It also enables students with social or psychological problems to be identified so that early intervention can be taken</w:t>
      </w:r>
    </w:p>
    <w:p w:rsidR="009F751C" w:rsidRPr="003122A3" w:rsidRDefault="009F751C" w:rsidP="009F751C">
      <w:pPr>
        <w:spacing w:after="0" w:line="240" w:lineRule="auto"/>
        <w:jc w:val="both"/>
        <w:rPr>
          <w:rFonts w:ascii="Times New Roman" w:hAnsi="Times New Roman" w:cs="Times New Roman"/>
          <w:sz w:val="24"/>
          <w:szCs w:val="24"/>
        </w:rPr>
      </w:pPr>
    </w:p>
    <w:p w:rsidR="004B5A2A" w:rsidRPr="003122A3" w:rsidRDefault="004B5A2A" w:rsidP="009F751C">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During the 2012/2013 academic year 67.</w:t>
      </w:r>
      <w:r w:rsidR="005953B9" w:rsidRPr="003122A3">
        <w:rPr>
          <w:rFonts w:ascii="Times New Roman" w:hAnsi="Times New Roman" w:cs="Times New Roman"/>
          <w:sz w:val="24"/>
          <w:szCs w:val="24"/>
        </w:rPr>
        <w:t>3</w:t>
      </w:r>
      <w:r w:rsidRPr="003122A3">
        <w:rPr>
          <w:rFonts w:ascii="Times New Roman" w:hAnsi="Times New Roman" w:cs="Times New Roman"/>
          <w:sz w:val="24"/>
          <w:szCs w:val="24"/>
        </w:rPr>
        <w:t xml:space="preserve">% of </w:t>
      </w:r>
      <w:proofErr w:type="spellStart"/>
      <w:r w:rsidRPr="003122A3">
        <w:rPr>
          <w:rFonts w:ascii="Times New Roman" w:hAnsi="Times New Roman" w:cs="Times New Roman"/>
          <w:sz w:val="24"/>
          <w:szCs w:val="24"/>
        </w:rPr>
        <w:t>publich</w:t>
      </w:r>
      <w:proofErr w:type="spellEnd"/>
      <w:r w:rsidRPr="003122A3">
        <w:rPr>
          <w:rFonts w:ascii="Times New Roman" w:hAnsi="Times New Roman" w:cs="Times New Roman"/>
          <w:sz w:val="24"/>
          <w:szCs w:val="24"/>
        </w:rPr>
        <w:t xml:space="preserve"> schools had a school counseling service with an average of 724 students per counselor. There were 1,053 counselors in this period.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the number of school counselors in public schools reached </w:t>
      </w:r>
      <w:r w:rsidR="00067717" w:rsidRPr="003122A3">
        <w:rPr>
          <w:rFonts w:ascii="Times New Roman" w:hAnsi="Times New Roman" w:cs="Times New Roman"/>
          <w:sz w:val="24"/>
          <w:szCs w:val="24"/>
        </w:rPr>
        <w:t>359</w:t>
      </w:r>
      <w:r w:rsidRPr="003122A3">
        <w:rPr>
          <w:rFonts w:ascii="Times New Roman" w:hAnsi="Times New Roman" w:cs="Times New Roman"/>
          <w:sz w:val="24"/>
          <w:szCs w:val="24"/>
        </w:rPr>
        <w:t xml:space="preserve"> with </w:t>
      </w:r>
      <w:proofErr w:type="spellStart"/>
      <w:r w:rsidRPr="003122A3">
        <w:rPr>
          <w:rFonts w:ascii="Times New Roman" w:hAnsi="Times New Roman" w:cs="Times New Roman"/>
          <w:sz w:val="24"/>
          <w:szCs w:val="24"/>
        </w:rPr>
        <w:t>anaverage</w:t>
      </w:r>
      <w:proofErr w:type="spellEnd"/>
      <w:r w:rsidRPr="003122A3">
        <w:rPr>
          <w:rFonts w:ascii="Times New Roman" w:hAnsi="Times New Roman" w:cs="Times New Roman"/>
          <w:sz w:val="24"/>
          <w:szCs w:val="24"/>
        </w:rPr>
        <w:t xml:space="preserve"> of 703 students per counselor</w:t>
      </w:r>
      <w:r w:rsidR="00067717" w:rsidRPr="003122A3">
        <w:rPr>
          <w:rFonts w:ascii="Times New Roman" w:hAnsi="Times New Roman" w:cs="Times New Roman"/>
          <w:sz w:val="24"/>
          <w:szCs w:val="24"/>
        </w:rPr>
        <w:t xml:space="preserve"> while in the West Bank the number reached 694 with an average of 775 students per counselor</w:t>
      </w:r>
      <w:r w:rsidRPr="003122A3">
        <w:rPr>
          <w:rFonts w:ascii="Times New Roman" w:hAnsi="Times New Roman" w:cs="Times New Roman"/>
          <w:sz w:val="24"/>
          <w:szCs w:val="24"/>
        </w:rPr>
        <w:t xml:space="preserve">. This percentage is </w:t>
      </w:r>
      <w:proofErr w:type="spellStart"/>
      <w:r w:rsidRPr="003122A3">
        <w:rPr>
          <w:rFonts w:ascii="Times New Roman" w:hAnsi="Times New Roman" w:cs="Times New Roman"/>
          <w:sz w:val="24"/>
          <w:szCs w:val="24"/>
        </w:rPr>
        <w:t>inadequqte</w:t>
      </w:r>
      <w:proofErr w:type="spellEnd"/>
      <w:r w:rsidRPr="003122A3">
        <w:rPr>
          <w:rFonts w:ascii="Times New Roman" w:hAnsi="Times New Roman" w:cs="Times New Roman"/>
          <w:sz w:val="24"/>
          <w:szCs w:val="24"/>
        </w:rPr>
        <w:t xml:space="preserve"> to meet the need for preventive work that is required under the current volatile circumstances.</w:t>
      </w:r>
    </w:p>
    <w:p w:rsidR="00067717" w:rsidRPr="003122A3" w:rsidRDefault="00067717" w:rsidP="00951AF8">
      <w:pPr>
        <w:pStyle w:val="Heading2"/>
        <w:ind w:firstLineChars="0" w:firstLine="0"/>
        <w:jc w:val="left"/>
        <w:rPr>
          <w:rFonts w:ascii="Times New Roman" w:hAnsi="Times New Roman" w:cs="Times New Roman"/>
          <w:sz w:val="24"/>
          <w:szCs w:val="24"/>
        </w:rPr>
      </w:pPr>
      <w:bookmarkStart w:id="39" w:name="_Toc420244981"/>
    </w:p>
    <w:p w:rsidR="0014795C" w:rsidRPr="003122A3" w:rsidRDefault="004B5A2A" w:rsidP="00951AF8">
      <w:pPr>
        <w:pStyle w:val="Heading2"/>
        <w:ind w:firstLineChars="0" w:firstLine="0"/>
        <w:jc w:val="left"/>
        <w:rPr>
          <w:rFonts w:ascii="Times New Roman" w:hAnsi="Times New Roman" w:cs="Times New Roman"/>
          <w:sz w:val="24"/>
          <w:szCs w:val="24"/>
        </w:rPr>
      </w:pPr>
      <w:r w:rsidRPr="003122A3">
        <w:rPr>
          <w:rFonts w:ascii="Times New Roman" w:hAnsi="Times New Roman" w:cs="Times New Roman"/>
          <w:sz w:val="24"/>
          <w:szCs w:val="24"/>
        </w:rPr>
        <w:t>3.13 Violations against Students and School</w:t>
      </w:r>
      <w:bookmarkEnd w:id="39"/>
    </w:p>
    <w:p w:rsidR="00452E62" w:rsidRPr="009F751C" w:rsidRDefault="00452E62" w:rsidP="009F751C">
      <w:pPr>
        <w:pStyle w:val="Heading2"/>
        <w:ind w:firstLineChars="0" w:firstLine="0"/>
        <w:jc w:val="left"/>
        <w:rPr>
          <w:rFonts w:ascii="Times New Roman" w:hAnsi="Times New Roman" w:cs="Times New Roman"/>
          <w:sz w:val="24"/>
          <w:szCs w:val="24"/>
        </w:rPr>
      </w:pPr>
    </w:p>
    <w:p w:rsidR="004B5A2A" w:rsidRPr="003122A3" w:rsidRDefault="004B5A2A" w:rsidP="006E4FC9">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 xml:space="preserve">Children, mainly students, in Area C are exposed to abuse by Israeli soldiers and settlers (killing, arrest, detention, forced stay, injuries by bullets, delay at checkpoints, electronic gates and ad-hoc barriers….). In 2013, the Israeli army and settlers attacked 89 schools; 3 students </w:t>
      </w:r>
      <w:proofErr w:type="spellStart"/>
      <w:r w:rsidRPr="003122A3">
        <w:rPr>
          <w:rFonts w:ascii="Times New Roman" w:hAnsi="Times New Roman" w:cs="Times New Roman"/>
          <w:sz w:val="24"/>
          <w:szCs w:val="24"/>
        </w:rPr>
        <w:t>martured</w:t>
      </w:r>
      <w:proofErr w:type="spellEnd"/>
      <w:r w:rsidRPr="003122A3">
        <w:rPr>
          <w:rFonts w:ascii="Times New Roman" w:hAnsi="Times New Roman" w:cs="Times New Roman"/>
          <w:sz w:val="24"/>
          <w:szCs w:val="24"/>
        </w:rPr>
        <w:t xml:space="preserve"> and 179 other were injured, 14 teachers were wounded, 175 students were detained while 43 others were arrested. 31 male and female teachers were also arrested for long hours. As a result, 1,581 class periods were missed for 891 teachers. There was partial or total </w:t>
      </w:r>
      <w:r w:rsidR="006137AC" w:rsidRPr="003122A3">
        <w:rPr>
          <w:rFonts w:ascii="Times New Roman" w:hAnsi="Times New Roman" w:cs="Times New Roman"/>
          <w:sz w:val="24"/>
          <w:szCs w:val="24"/>
        </w:rPr>
        <w:t>suspension of schools for 225 days. Monitoring and Evaluation System report for the years 2011 and 2012, published by the Ministry of Education, showed that children in Area C are subjected to harsh psychosocial conditions. Almost 9.0% of students suffer psychosocial problems as a result of living in a geographic zone under Israeli security control, namely Area C. 10</w:t>
      </w:r>
      <w:r w:rsidR="006E4FC9">
        <w:rPr>
          <w:rFonts w:ascii="Times New Roman" w:hAnsi="Times New Roman" w:cs="Times New Roman"/>
          <w:sz w:val="24"/>
          <w:szCs w:val="24"/>
        </w:rPr>
        <w:t>.0</w:t>
      </w:r>
      <w:r w:rsidR="006137AC" w:rsidRPr="003122A3">
        <w:rPr>
          <w:rFonts w:ascii="Times New Roman" w:hAnsi="Times New Roman" w:cs="Times New Roman"/>
          <w:sz w:val="24"/>
          <w:szCs w:val="24"/>
        </w:rPr>
        <w:t>% of scho</w:t>
      </w:r>
      <w:r w:rsidR="006E4FC9">
        <w:rPr>
          <w:rFonts w:ascii="Times New Roman" w:hAnsi="Times New Roman" w:cs="Times New Roman"/>
          <w:sz w:val="24"/>
          <w:szCs w:val="24"/>
        </w:rPr>
        <w:t>o</w:t>
      </w:r>
      <w:r w:rsidR="006137AC" w:rsidRPr="003122A3">
        <w:rPr>
          <w:rFonts w:ascii="Times New Roman" w:hAnsi="Times New Roman" w:cs="Times New Roman"/>
          <w:sz w:val="24"/>
          <w:szCs w:val="24"/>
        </w:rPr>
        <w:t>ls in this area are not within Palestinian government control. Most children in this area face difficulties access health, educational and social schools and are subjected to abuse by settlers and Israeli soldiers. Results of the same report indicate as well high occurrence of psychological and behavior disorders among students in 2012, compared to previous year (69.2% and 38.0% respectively).</w:t>
      </w:r>
    </w:p>
    <w:p w:rsidR="00275778" w:rsidRPr="003122A3" w:rsidRDefault="00275778" w:rsidP="00DD4FFB">
      <w:pPr>
        <w:pStyle w:val="Caption"/>
        <w:keepNext/>
        <w:bidi w:val="0"/>
        <w:rPr>
          <w:sz w:val="22"/>
          <w:szCs w:val="22"/>
        </w:rPr>
      </w:pPr>
      <w:bookmarkStart w:id="40" w:name="_Toc420269300"/>
      <w:r w:rsidRPr="003122A3">
        <w:rPr>
          <w:sz w:val="22"/>
          <w:szCs w:val="22"/>
        </w:rPr>
        <w:t>Table</w:t>
      </w:r>
      <w:r w:rsidR="00452E62"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2</w:t>
      </w:r>
      <w:r w:rsidR="008F57C8" w:rsidRPr="003122A3">
        <w:rPr>
          <w:sz w:val="22"/>
          <w:szCs w:val="22"/>
          <w:rtl/>
        </w:rPr>
        <w:fldChar w:fldCharType="end"/>
      </w:r>
      <w:r w:rsidRPr="003122A3">
        <w:rPr>
          <w:sz w:val="22"/>
          <w:szCs w:val="22"/>
        </w:rPr>
        <w:t>: Distribution of Schools in Area C by Location, 2012</w:t>
      </w:r>
      <w:bookmarkEnd w:id="40"/>
    </w:p>
    <w:tbl>
      <w:tblPr>
        <w:tblStyle w:val="LightShading-Accent11"/>
        <w:tblW w:w="0" w:type="auto"/>
        <w:jc w:val="center"/>
        <w:tblLook w:val="04A0"/>
      </w:tblPr>
      <w:tblGrid>
        <w:gridCol w:w="2891"/>
        <w:gridCol w:w="2891"/>
        <w:gridCol w:w="2765"/>
      </w:tblGrid>
      <w:tr w:rsidR="006137AC" w:rsidRPr="003122A3" w:rsidTr="003D7F9A">
        <w:trPr>
          <w:cnfStyle w:val="100000000000"/>
          <w:trHeight w:val="567"/>
          <w:jc w:val="center"/>
        </w:trPr>
        <w:tc>
          <w:tcPr>
            <w:cnfStyle w:val="001000000000"/>
            <w:tcW w:w="2891" w:type="dxa"/>
            <w:tcBorders>
              <w:top w:val="single" w:sz="4" w:space="0" w:color="auto"/>
              <w:left w:val="single" w:sz="4" w:space="0" w:color="auto"/>
              <w:bottom w:val="single" w:sz="4" w:space="0" w:color="auto"/>
              <w:right w:val="single" w:sz="4" w:space="0" w:color="auto"/>
            </w:tcBorders>
            <w:vAlign w:val="center"/>
          </w:tcPr>
          <w:p w:rsidR="006137AC" w:rsidRPr="003122A3" w:rsidRDefault="006137AC" w:rsidP="00EF3CC7">
            <w:pPr>
              <w:pStyle w:val="Heading3"/>
              <w:bidi w:val="0"/>
              <w:spacing w:line="276" w:lineRule="auto"/>
              <w:jc w:val="center"/>
              <w:outlineLvl w:val="2"/>
              <w:rPr>
                <w:rFonts w:cs="Times New Roman"/>
                <w:color w:val="auto"/>
              </w:rPr>
            </w:pPr>
            <w:r w:rsidRPr="003122A3">
              <w:rPr>
                <w:rFonts w:cs="Times New Roman"/>
                <w:color w:val="auto"/>
              </w:rPr>
              <w:t>Schools in Area C</w:t>
            </w:r>
          </w:p>
        </w:tc>
        <w:tc>
          <w:tcPr>
            <w:tcW w:w="2891" w:type="dxa"/>
            <w:tcBorders>
              <w:top w:val="single" w:sz="4" w:space="0" w:color="auto"/>
              <w:left w:val="single" w:sz="4" w:space="0" w:color="auto"/>
              <w:bottom w:val="single" w:sz="4" w:space="0" w:color="auto"/>
              <w:right w:val="single" w:sz="4" w:space="0" w:color="auto"/>
            </w:tcBorders>
            <w:vAlign w:val="center"/>
          </w:tcPr>
          <w:p w:rsidR="006137AC" w:rsidRPr="003122A3" w:rsidRDefault="003D7F9A" w:rsidP="00EF3CC7">
            <w:pPr>
              <w:pStyle w:val="Heading3"/>
              <w:bidi w:val="0"/>
              <w:spacing w:line="276" w:lineRule="auto"/>
              <w:jc w:val="center"/>
              <w:outlineLvl w:val="2"/>
              <w:cnfStyle w:val="100000000000"/>
              <w:rPr>
                <w:rFonts w:cs="Times New Roman"/>
                <w:color w:val="auto"/>
              </w:rPr>
            </w:pPr>
            <w:r>
              <w:rPr>
                <w:rFonts w:cs="Times New Roman"/>
                <w:color w:val="auto"/>
              </w:rPr>
              <w:t>Number</w:t>
            </w:r>
          </w:p>
        </w:tc>
        <w:tc>
          <w:tcPr>
            <w:tcW w:w="2765" w:type="dxa"/>
            <w:tcBorders>
              <w:top w:val="single" w:sz="4" w:space="0" w:color="auto"/>
              <w:left w:val="single" w:sz="4" w:space="0" w:color="auto"/>
              <w:bottom w:val="single" w:sz="4" w:space="0" w:color="auto"/>
              <w:right w:val="single" w:sz="4" w:space="0" w:color="auto"/>
            </w:tcBorders>
            <w:vAlign w:val="center"/>
          </w:tcPr>
          <w:p w:rsidR="006137AC" w:rsidRPr="003122A3" w:rsidRDefault="006137AC" w:rsidP="00EF3CC7">
            <w:pPr>
              <w:pStyle w:val="Heading3"/>
              <w:bidi w:val="0"/>
              <w:spacing w:line="276" w:lineRule="auto"/>
              <w:jc w:val="center"/>
              <w:outlineLvl w:val="2"/>
              <w:cnfStyle w:val="100000000000"/>
              <w:rPr>
                <w:rFonts w:cs="Times New Roman"/>
                <w:color w:val="auto"/>
              </w:rPr>
            </w:pPr>
            <w:r w:rsidRPr="003122A3">
              <w:rPr>
                <w:rFonts w:cs="Times New Roman"/>
                <w:color w:val="auto"/>
              </w:rPr>
              <w:t>Percentage</w:t>
            </w:r>
          </w:p>
        </w:tc>
      </w:tr>
      <w:tr w:rsidR="006137AC" w:rsidRPr="003122A3" w:rsidTr="003D7F9A">
        <w:trPr>
          <w:cnfStyle w:val="000000100000"/>
          <w:trHeight w:val="567"/>
          <w:jc w:val="center"/>
        </w:trPr>
        <w:tc>
          <w:tcPr>
            <w:cnfStyle w:val="001000000000"/>
            <w:tcW w:w="2891" w:type="dxa"/>
            <w:tcBorders>
              <w:top w:val="single" w:sz="4" w:space="0" w:color="auto"/>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p>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Schools affected by the wall</w:t>
            </w:r>
          </w:p>
        </w:tc>
        <w:tc>
          <w:tcPr>
            <w:tcW w:w="2891" w:type="dxa"/>
            <w:tcBorders>
              <w:top w:val="single" w:sz="4" w:space="0" w:color="auto"/>
              <w:left w:val="single" w:sz="4" w:space="0" w:color="auto"/>
            </w:tcBorders>
          </w:tcPr>
          <w:p w:rsidR="006137AC" w:rsidRPr="00955964" w:rsidRDefault="006137AC" w:rsidP="003D7F9A">
            <w:pPr>
              <w:pStyle w:val="Heading3"/>
              <w:bidi w:val="0"/>
              <w:spacing w:line="276" w:lineRule="auto"/>
              <w:jc w:val="center"/>
              <w:outlineLvl w:val="2"/>
              <w:cnfStyle w:val="000000100000"/>
              <w:rPr>
                <w:rFonts w:cs="Times New Roman"/>
                <w:b w:val="0"/>
                <w:bCs w:val="0"/>
                <w:color w:val="auto"/>
              </w:rPr>
            </w:pPr>
          </w:p>
          <w:p w:rsidR="006137AC" w:rsidRPr="00955964" w:rsidRDefault="006137AC" w:rsidP="003D7F9A">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30</w:t>
            </w:r>
          </w:p>
        </w:tc>
        <w:tc>
          <w:tcPr>
            <w:tcW w:w="2765" w:type="dxa"/>
            <w:tcBorders>
              <w:top w:val="single" w:sz="4" w:space="0" w:color="auto"/>
              <w:righ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p>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16</w:t>
            </w:r>
          </w:p>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p>
        </w:tc>
      </w:tr>
      <w:tr w:rsidR="006137AC" w:rsidRPr="003122A3" w:rsidTr="003D7F9A">
        <w:trPr>
          <w:trHeight w:val="567"/>
          <w:jc w:val="center"/>
        </w:trPr>
        <w:tc>
          <w:tcPr>
            <w:cnfStyle w:val="001000000000"/>
            <w:tcW w:w="2891"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Schools affected by Israeli settlements</w:t>
            </w:r>
          </w:p>
        </w:tc>
        <w:tc>
          <w:tcPr>
            <w:tcW w:w="2891" w:type="dxa"/>
            <w:tcBorders>
              <w:left w:val="single" w:sz="4" w:space="0" w:color="auto"/>
            </w:tcBorders>
          </w:tcPr>
          <w:p w:rsidR="006137AC" w:rsidRPr="00955964" w:rsidRDefault="006137AC" w:rsidP="003D7F9A">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34</w:t>
            </w:r>
          </w:p>
        </w:tc>
        <w:tc>
          <w:tcPr>
            <w:tcW w:w="2765" w:type="dxa"/>
            <w:tcBorders>
              <w:righ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18</w:t>
            </w:r>
          </w:p>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p>
        </w:tc>
      </w:tr>
      <w:tr w:rsidR="006137AC" w:rsidRPr="003122A3" w:rsidTr="003D7F9A">
        <w:trPr>
          <w:cnfStyle w:val="000000100000"/>
          <w:trHeight w:val="567"/>
          <w:jc w:val="center"/>
        </w:trPr>
        <w:tc>
          <w:tcPr>
            <w:cnfStyle w:val="001000000000"/>
            <w:tcW w:w="2891"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Jerusalem schools</w:t>
            </w:r>
          </w:p>
        </w:tc>
        <w:tc>
          <w:tcPr>
            <w:tcW w:w="2891" w:type="dxa"/>
            <w:tcBorders>
              <w:left w:val="single" w:sz="4" w:space="0" w:color="auto"/>
            </w:tcBorders>
          </w:tcPr>
          <w:p w:rsidR="006137AC" w:rsidRPr="00955964" w:rsidRDefault="006137AC" w:rsidP="003D7F9A">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32</w:t>
            </w:r>
          </w:p>
        </w:tc>
        <w:tc>
          <w:tcPr>
            <w:tcW w:w="2765" w:type="dxa"/>
            <w:tcBorders>
              <w:righ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17</w:t>
            </w:r>
          </w:p>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p>
        </w:tc>
      </w:tr>
      <w:tr w:rsidR="006137AC" w:rsidRPr="003122A3" w:rsidTr="003D7F9A">
        <w:trPr>
          <w:trHeight w:val="567"/>
          <w:jc w:val="center"/>
        </w:trPr>
        <w:tc>
          <w:tcPr>
            <w:cnfStyle w:val="001000000000"/>
            <w:tcW w:w="2891"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Schools in the old town of Hebron</w:t>
            </w:r>
          </w:p>
        </w:tc>
        <w:tc>
          <w:tcPr>
            <w:tcW w:w="2891" w:type="dxa"/>
            <w:tcBorders>
              <w:left w:val="single" w:sz="4" w:space="0" w:color="auto"/>
            </w:tcBorders>
          </w:tcPr>
          <w:p w:rsidR="006137AC" w:rsidRPr="00955964" w:rsidRDefault="006137AC" w:rsidP="003D7F9A">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31</w:t>
            </w:r>
          </w:p>
        </w:tc>
        <w:tc>
          <w:tcPr>
            <w:tcW w:w="2765" w:type="dxa"/>
            <w:tcBorders>
              <w:righ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17</w:t>
            </w:r>
          </w:p>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p>
        </w:tc>
      </w:tr>
      <w:tr w:rsidR="006137AC" w:rsidRPr="003122A3" w:rsidTr="003D7F9A">
        <w:trPr>
          <w:cnfStyle w:val="000000100000"/>
          <w:trHeight w:val="567"/>
          <w:jc w:val="center"/>
        </w:trPr>
        <w:tc>
          <w:tcPr>
            <w:cnfStyle w:val="001000000000"/>
            <w:tcW w:w="2891"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Remote schools</w:t>
            </w:r>
          </w:p>
        </w:tc>
        <w:tc>
          <w:tcPr>
            <w:tcW w:w="2891" w:type="dxa"/>
            <w:tcBorders>
              <w:left w:val="single" w:sz="4" w:space="0" w:color="auto"/>
            </w:tcBorders>
          </w:tcPr>
          <w:p w:rsidR="006137AC" w:rsidRPr="00955964" w:rsidRDefault="006137AC" w:rsidP="003D7F9A">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12</w:t>
            </w:r>
          </w:p>
        </w:tc>
        <w:tc>
          <w:tcPr>
            <w:tcW w:w="2765" w:type="dxa"/>
            <w:tcBorders>
              <w:righ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6</w:t>
            </w:r>
          </w:p>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p>
        </w:tc>
      </w:tr>
      <w:tr w:rsidR="006137AC" w:rsidRPr="003122A3" w:rsidTr="003D7F9A">
        <w:trPr>
          <w:trHeight w:val="567"/>
          <w:jc w:val="center"/>
        </w:trPr>
        <w:tc>
          <w:tcPr>
            <w:cnfStyle w:val="001000000000"/>
            <w:tcW w:w="2891"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Schools affected by roadblocks and curfews</w:t>
            </w:r>
          </w:p>
        </w:tc>
        <w:tc>
          <w:tcPr>
            <w:tcW w:w="2891" w:type="dxa"/>
            <w:tcBorders>
              <w:left w:val="single" w:sz="4" w:space="0" w:color="auto"/>
            </w:tcBorders>
          </w:tcPr>
          <w:p w:rsidR="006137AC" w:rsidRPr="00955964" w:rsidRDefault="006137AC" w:rsidP="003D7F9A">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48</w:t>
            </w:r>
          </w:p>
        </w:tc>
        <w:tc>
          <w:tcPr>
            <w:tcW w:w="2765" w:type="dxa"/>
            <w:tcBorders>
              <w:righ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26</w:t>
            </w:r>
          </w:p>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p>
        </w:tc>
      </w:tr>
      <w:tr w:rsidR="006137AC" w:rsidRPr="003122A3" w:rsidTr="003D7F9A">
        <w:trPr>
          <w:cnfStyle w:val="000000100000"/>
          <w:trHeight w:val="567"/>
          <w:jc w:val="center"/>
        </w:trPr>
        <w:tc>
          <w:tcPr>
            <w:cnfStyle w:val="001000000000"/>
            <w:tcW w:w="2891" w:type="dxa"/>
            <w:tcBorders>
              <w:top w:val="nil"/>
              <w:left w:val="single" w:sz="4" w:space="0" w:color="auto"/>
              <w:bottom w:val="single" w:sz="4" w:space="0" w:color="auto"/>
              <w:right w:val="single" w:sz="4" w:space="0" w:color="auto"/>
            </w:tcBorders>
          </w:tcPr>
          <w:p w:rsidR="006137AC" w:rsidRPr="00873DF5" w:rsidRDefault="006137AC" w:rsidP="00452E62">
            <w:pPr>
              <w:pStyle w:val="Heading3"/>
              <w:bidi w:val="0"/>
              <w:spacing w:line="276" w:lineRule="auto"/>
              <w:jc w:val="left"/>
              <w:outlineLvl w:val="2"/>
              <w:rPr>
                <w:rFonts w:cs="Times New Roman"/>
                <w:color w:val="auto"/>
              </w:rPr>
            </w:pPr>
          </w:p>
          <w:p w:rsidR="006137AC" w:rsidRPr="00873DF5" w:rsidRDefault="006137AC" w:rsidP="00452E62">
            <w:pPr>
              <w:pStyle w:val="Heading3"/>
              <w:bidi w:val="0"/>
              <w:spacing w:line="276" w:lineRule="auto"/>
              <w:jc w:val="left"/>
              <w:outlineLvl w:val="2"/>
              <w:rPr>
                <w:rFonts w:cs="Times New Roman"/>
                <w:color w:val="auto"/>
              </w:rPr>
            </w:pPr>
            <w:r w:rsidRPr="00873DF5">
              <w:rPr>
                <w:rFonts w:cs="Times New Roman"/>
                <w:color w:val="auto"/>
              </w:rPr>
              <w:t>Total (10% of schools in West Bank, 9% of students)</w:t>
            </w:r>
          </w:p>
        </w:tc>
        <w:tc>
          <w:tcPr>
            <w:tcW w:w="2891" w:type="dxa"/>
            <w:tcBorders>
              <w:left w:val="single" w:sz="4" w:space="0" w:color="auto"/>
              <w:bottom w:val="single" w:sz="4" w:space="0" w:color="auto"/>
            </w:tcBorders>
          </w:tcPr>
          <w:p w:rsidR="006137AC" w:rsidRPr="00873DF5" w:rsidRDefault="006137AC" w:rsidP="003D7F9A">
            <w:pPr>
              <w:pStyle w:val="Heading3"/>
              <w:bidi w:val="0"/>
              <w:spacing w:line="276" w:lineRule="auto"/>
              <w:jc w:val="center"/>
              <w:outlineLvl w:val="2"/>
              <w:cnfStyle w:val="000000100000"/>
              <w:rPr>
                <w:rFonts w:cs="Times New Roman"/>
                <w:color w:val="auto"/>
              </w:rPr>
            </w:pPr>
          </w:p>
          <w:p w:rsidR="006137AC" w:rsidRPr="00873DF5" w:rsidRDefault="006137AC" w:rsidP="003D7F9A">
            <w:pPr>
              <w:pStyle w:val="Heading3"/>
              <w:bidi w:val="0"/>
              <w:spacing w:line="276" w:lineRule="auto"/>
              <w:jc w:val="center"/>
              <w:outlineLvl w:val="2"/>
              <w:cnfStyle w:val="000000100000"/>
              <w:rPr>
                <w:rFonts w:cs="Times New Roman"/>
                <w:color w:val="auto"/>
              </w:rPr>
            </w:pPr>
            <w:r w:rsidRPr="00873DF5">
              <w:rPr>
                <w:rFonts w:cs="Times New Roman"/>
                <w:color w:val="auto"/>
              </w:rPr>
              <w:t>187 School</w:t>
            </w:r>
          </w:p>
        </w:tc>
        <w:tc>
          <w:tcPr>
            <w:tcW w:w="2765" w:type="dxa"/>
            <w:tcBorders>
              <w:bottom w:val="single" w:sz="4" w:space="0" w:color="auto"/>
              <w:right w:val="single" w:sz="4" w:space="0" w:color="auto"/>
            </w:tcBorders>
          </w:tcPr>
          <w:p w:rsidR="006137AC" w:rsidRPr="00873DF5" w:rsidRDefault="006137AC" w:rsidP="00452E62">
            <w:pPr>
              <w:pStyle w:val="Heading3"/>
              <w:bidi w:val="0"/>
              <w:spacing w:line="276" w:lineRule="auto"/>
              <w:jc w:val="center"/>
              <w:outlineLvl w:val="2"/>
              <w:cnfStyle w:val="000000100000"/>
              <w:rPr>
                <w:rFonts w:cs="Times New Roman"/>
                <w:color w:val="auto"/>
              </w:rPr>
            </w:pPr>
          </w:p>
          <w:p w:rsidR="006137AC" w:rsidRPr="00873DF5" w:rsidRDefault="006137AC" w:rsidP="00452E62">
            <w:pPr>
              <w:pStyle w:val="Heading3"/>
              <w:bidi w:val="0"/>
              <w:spacing w:line="276" w:lineRule="auto"/>
              <w:jc w:val="center"/>
              <w:outlineLvl w:val="2"/>
              <w:cnfStyle w:val="000000100000"/>
              <w:rPr>
                <w:rFonts w:cs="Times New Roman"/>
                <w:color w:val="auto"/>
              </w:rPr>
            </w:pPr>
            <w:r w:rsidRPr="00873DF5">
              <w:rPr>
                <w:rFonts w:cs="Times New Roman"/>
                <w:color w:val="auto"/>
              </w:rPr>
              <w:t>100</w:t>
            </w:r>
          </w:p>
          <w:p w:rsidR="006137AC" w:rsidRPr="00873DF5" w:rsidRDefault="006137AC" w:rsidP="00452E62">
            <w:pPr>
              <w:pStyle w:val="Heading3"/>
              <w:bidi w:val="0"/>
              <w:spacing w:line="276" w:lineRule="auto"/>
              <w:jc w:val="center"/>
              <w:outlineLvl w:val="2"/>
              <w:cnfStyle w:val="000000100000"/>
              <w:rPr>
                <w:rFonts w:cs="Times New Roman"/>
                <w:color w:val="auto"/>
              </w:rPr>
            </w:pPr>
          </w:p>
        </w:tc>
      </w:tr>
    </w:tbl>
    <w:p w:rsidR="006137AC" w:rsidRPr="003122A3" w:rsidRDefault="00DD4FFB" w:rsidP="008E657F">
      <w:pPr>
        <w:jc w:val="both"/>
        <w:rPr>
          <w:rFonts w:ascii="Times New Roman" w:hAnsi="Times New Roman" w:cs="Times New Roman"/>
          <w:iCs/>
          <w:sz w:val="18"/>
          <w:szCs w:val="18"/>
          <w:rtl/>
        </w:rPr>
      </w:pPr>
      <w:r w:rsidRPr="003122A3">
        <w:rPr>
          <w:rFonts w:ascii="Times New Roman" w:hAnsi="Times New Roman" w:cs="Times New Roman"/>
          <w:iCs/>
          <w:sz w:val="18"/>
          <w:szCs w:val="18"/>
        </w:rPr>
        <w:t xml:space="preserve">            </w:t>
      </w:r>
      <w:r w:rsidR="006137AC" w:rsidRPr="003122A3">
        <w:rPr>
          <w:rFonts w:ascii="Times New Roman" w:hAnsi="Times New Roman" w:cs="Times New Roman"/>
          <w:iCs/>
          <w:sz w:val="18"/>
          <w:szCs w:val="18"/>
        </w:rPr>
        <w:t>Source: Ministry of Education, Educational databases. General Administration of Planning 2013.</w:t>
      </w:r>
    </w:p>
    <w:p w:rsidR="000D7934" w:rsidRPr="003122A3" w:rsidRDefault="000D7934" w:rsidP="00DD4FFB">
      <w:pPr>
        <w:pStyle w:val="Caption"/>
        <w:keepNext/>
        <w:bidi w:val="0"/>
        <w:rPr>
          <w:sz w:val="22"/>
          <w:szCs w:val="22"/>
        </w:rPr>
      </w:pPr>
      <w:bookmarkStart w:id="41" w:name="_Toc420269301"/>
      <w:r w:rsidRPr="003122A3">
        <w:rPr>
          <w:sz w:val="22"/>
          <w:szCs w:val="22"/>
        </w:rPr>
        <w:t>Table</w:t>
      </w:r>
      <w:r w:rsidR="00452E62"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3</w:t>
      </w:r>
      <w:r w:rsidR="008F57C8" w:rsidRPr="003122A3">
        <w:rPr>
          <w:sz w:val="22"/>
          <w:szCs w:val="22"/>
          <w:rtl/>
        </w:rPr>
        <w:fldChar w:fldCharType="end"/>
      </w:r>
      <w:r w:rsidRPr="003122A3">
        <w:rPr>
          <w:sz w:val="22"/>
          <w:szCs w:val="22"/>
        </w:rPr>
        <w:t>: Percentage of Students in Public Schools in Area C Experiencing Psychological or Social Problems, 2011-201</w:t>
      </w:r>
      <w:bookmarkEnd w:id="41"/>
      <w:r w:rsidR="00DD4FFB" w:rsidRPr="003122A3">
        <w:rPr>
          <w:sz w:val="22"/>
          <w:szCs w:val="22"/>
        </w:rPr>
        <w:t>2</w:t>
      </w:r>
    </w:p>
    <w:tbl>
      <w:tblPr>
        <w:tblStyle w:val="LightShading-Accent111"/>
        <w:tblW w:w="0" w:type="auto"/>
        <w:jc w:val="center"/>
        <w:tblLook w:val="04A0"/>
      </w:tblPr>
      <w:tblGrid>
        <w:gridCol w:w="2840"/>
        <w:gridCol w:w="2841"/>
        <w:gridCol w:w="2841"/>
      </w:tblGrid>
      <w:tr w:rsidR="006137AC" w:rsidRPr="003122A3" w:rsidTr="00EF3CC7">
        <w:trPr>
          <w:cnfStyle w:val="100000000000"/>
          <w:trHeight w:val="315"/>
          <w:jc w:val="center"/>
        </w:trPr>
        <w:tc>
          <w:tcPr>
            <w:cnfStyle w:val="001000000000"/>
            <w:tcW w:w="2840" w:type="dxa"/>
            <w:vMerge w:val="restart"/>
            <w:tcBorders>
              <w:top w:val="single" w:sz="4" w:space="0" w:color="auto"/>
              <w:left w:val="single" w:sz="4" w:space="0" w:color="auto"/>
              <w:right w:val="single" w:sz="4" w:space="0" w:color="auto"/>
            </w:tcBorders>
          </w:tcPr>
          <w:p w:rsidR="006137AC" w:rsidRPr="003122A3" w:rsidRDefault="006137AC" w:rsidP="00452E62">
            <w:pPr>
              <w:pStyle w:val="Heading3"/>
              <w:bidi w:val="0"/>
              <w:spacing w:line="276" w:lineRule="auto"/>
              <w:jc w:val="center"/>
              <w:outlineLvl w:val="2"/>
              <w:rPr>
                <w:rFonts w:cs="Times New Roman"/>
                <w:color w:val="auto"/>
              </w:rPr>
            </w:pPr>
          </w:p>
          <w:p w:rsidR="006137AC" w:rsidRPr="003122A3" w:rsidRDefault="006137AC" w:rsidP="00EF3CC7">
            <w:pPr>
              <w:pStyle w:val="Heading3"/>
              <w:pBdr>
                <w:right w:val="single" w:sz="4" w:space="4" w:color="auto"/>
              </w:pBdr>
              <w:bidi w:val="0"/>
              <w:spacing w:line="276" w:lineRule="auto"/>
              <w:jc w:val="center"/>
              <w:outlineLvl w:val="2"/>
              <w:rPr>
                <w:rFonts w:cs="Times New Roman"/>
                <w:color w:val="auto"/>
              </w:rPr>
            </w:pPr>
            <w:r w:rsidRPr="003122A3">
              <w:rPr>
                <w:rFonts w:cs="Times New Roman"/>
                <w:color w:val="auto"/>
              </w:rPr>
              <w:t>Psychological effects</w:t>
            </w:r>
          </w:p>
          <w:p w:rsidR="006137AC" w:rsidRPr="003122A3" w:rsidRDefault="006137AC" w:rsidP="00452E62">
            <w:pPr>
              <w:pStyle w:val="Heading3"/>
              <w:bidi w:val="0"/>
              <w:spacing w:line="276" w:lineRule="auto"/>
              <w:jc w:val="center"/>
              <w:outlineLvl w:val="2"/>
              <w:rPr>
                <w:rFonts w:cs="Times New Roman"/>
                <w:color w:val="auto"/>
              </w:rPr>
            </w:pPr>
          </w:p>
        </w:tc>
        <w:tc>
          <w:tcPr>
            <w:tcW w:w="5682" w:type="dxa"/>
            <w:gridSpan w:val="2"/>
            <w:tcBorders>
              <w:top w:val="single" w:sz="4" w:space="0" w:color="auto"/>
              <w:left w:val="single" w:sz="4" w:space="0" w:color="auto"/>
              <w:right w:val="single" w:sz="4" w:space="0" w:color="auto"/>
            </w:tcBorders>
          </w:tcPr>
          <w:p w:rsidR="006137AC" w:rsidRPr="003122A3" w:rsidRDefault="006137AC" w:rsidP="00452E62">
            <w:pPr>
              <w:pStyle w:val="Heading3"/>
              <w:bidi w:val="0"/>
              <w:spacing w:line="276" w:lineRule="auto"/>
              <w:jc w:val="center"/>
              <w:outlineLvl w:val="2"/>
              <w:cnfStyle w:val="100000000000"/>
              <w:rPr>
                <w:rFonts w:cs="Times New Roman"/>
                <w:color w:val="auto"/>
              </w:rPr>
            </w:pPr>
            <w:r w:rsidRPr="003122A3">
              <w:rPr>
                <w:rFonts w:cs="Times New Roman"/>
                <w:color w:val="auto"/>
              </w:rPr>
              <w:t>School Year</w:t>
            </w:r>
          </w:p>
        </w:tc>
      </w:tr>
      <w:tr w:rsidR="006137AC" w:rsidRPr="003122A3" w:rsidTr="00873DF5">
        <w:trPr>
          <w:cnfStyle w:val="000000100000"/>
          <w:trHeight w:val="57"/>
          <w:jc w:val="center"/>
        </w:trPr>
        <w:tc>
          <w:tcPr>
            <w:cnfStyle w:val="001000000000"/>
            <w:tcW w:w="2840" w:type="dxa"/>
            <w:vMerge/>
            <w:tcBorders>
              <w:left w:val="single" w:sz="4" w:space="0" w:color="auto"/>
              <w:bottom w:val="single" w:sz="4" w:space="0" w:color="auto"/>
              <w:right w:val="single" w:sz="4" w:space="0" w:color="auto"/>
            </w:tcBorders>
          </w:tcPr>
          <w:p w:rsidR="006137AC" w:rsidRPr="003122A3" w:rsidRDefault="006137AC" w:rsidP="00452E62">
            <w:pPr>
              <w:pStyle w:val="Heading3"/>
              <w:bidi w:val="0"/>
              <w:spacing w:line="276" w:lineRule="auto"/>
              <w:outlineLvl w:val="2"/>
              <w:rPr>
                <w:rFonts w:cs="Times New Roman"/>
                <w:color w:val="auto"/>
              </w:rPr>
            </w:pPr>
          </w:p>
        </w:tc>
        <w:tc>
          <w:tcPr>
            <w:tcW w:w="2841" w:type="dxa"/>
            <w:tcBorders>
              <w:left w:val="single" w:sz="4" w:space="0" w:color="auto"/>
              <w:bottom w:val="single" w:sz="4" w:space="0" w:color="auto"/>
            </w:tcBorders>
          </w:tcPr>
          <w:p w:rsidR="006137AC" w:rsidRPr="003122A3" w:rsidRDefault="006137AC" w:rsidP="00452E62">
            <w:pPr>
              <w:pStyle w:val="Heading3"/>
              <w:bidi w:val="0"/>
              <w:spacing w:line="276" w:lineRule="auto"/>
              <w:jc w:val="center"/>
              <w:outlineLvl w:val="2"/>
              <w:cnfStyle w:val="000000100000"/>
              <w:rPr>
                <w:rFonts w:cs="Times New Roman"/>
                <w:color w:val="auto"/>
              </w:rPr>
            </w:pPr>
            <w:r w:rsidRPr="003122A3">
              <w:rPr>
                <w:rFonts w:cs="Times New Roman"/>
                <w:color w:val="auto"/>
              </w:rPr>
              <w:t>2011</w:t>
            </w:r>
          </w:p>
        </w:tc>
        <w:tc>
          <w:tcPr>
            <w:tcW w:w="2841" w:type="dxa"/>
            <w:tcBorders>
              <w:bottom w:val="single" w:sz="4" w:space="0" w:color="auto"/>
              <w:right w:val="single" w:sz="4" w:space="0" w:color="auto"/>
            </w:tcBorders>
          </w:tcPr>
          <w:p w:rsidR="006137AC" w:rsidRPr="003122A3" w:rsidRDefault="006137AC" w:rsidP="00452E62">
            <w:pPr>
              <w:pStyle w:val="Heading3"/>
              <w:bidi w:val="0"/>
              <w:spacing w:line="276" w:lineRule="auto"/>
              <w:jc w:val="center"/>
              <w:outlineLvl w:val="2"/>
              <w:cnfStyle w:val="000000100000"/>
              <w:rPr>
                <w:rFonts w:cs="Times New Roman"/>
                <w:color w:val="auto"/>
              </w:rPr>
            </w:pPr>
            <w:r w:rsidRPr="003122A3">
              <w:rPr>
                <w:rFonts w:cs="Times New Roman"/>
                <w:color w:val="auto"/>
              </w:rPr>
              <w:t>2012</w:t>
            </w:r>
          </w:p>
        </w:tc>
      </w:tr>
      <w:tr w:rsidR="006137AC" w:rsidRPr="003122A3" w:rsidTr="00873DF5">
        <w:trPr>
          <w:trHeight w:val="57"/>
          <w:jc w:val="center"/>
        </w:trPr>
        <w:tc>
          <w:tcPr>
            <w:cnfStyle w:val="001000000000"/>
            <w:tcW w:w="2840" w:type="dxa"/>
            <w:tcBorders>
              <w:top w:val="single" w:sz="4" w:space="0" w:color="auto"/>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Withdrawn behavior</w:t>
            </w:r>
          </w:p>
        </w:tc>
        <w:tc>
          <w:tcPr>
            <w:tcW w:w="2841" w:type="dxa"/>
            <w:tcBorders>
              <w:top w:val="single" w:sz="4" w:space="0" w:color="auto"/>
              <w:lef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40.0</w:t>
            </w:r>
          </w:p>
        </w:tc>
        <w:tc>
          <w:tcPr>
            <w:tcW w:w="2841" w:type="dxa"/>
            <w:tcBorders>
              <w:top w:val="single" w:sz="4" w:space="0" w:color="auto"/>
              <w:righ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66.9</w:t>
            </w:r>
          </w:p>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p>
        </w:tc>
      </w:tr>
      <w:tr w:rsidR="006137AC" w:rsidRPr="003122A3" w:rsidTr="00873DF5">
        <w:trPr>
          <w:cnfStyle w:val="000000100000"/>
          <w:trHeight w:val="57"/>
          <w:jc w:val="center"/>
        </w:trPr>
        <w:tc>
          <w:tcPr>
            <w:cnfStyle w:val="001000000000"/>
            <w:tcW w:w="2840"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Fear</w:t>
            </w:r>
          </w:p>
        </w:tc>
        <w:tc>
          <w:tcPr>
            <w:tcW w:w="2841" w:type="dxa"/>
            <w:tcBorders>
              <w:lef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39.0</w:t>
            </w:r>
          </w:p>
        </w:tc>
        <w:tc>
          <w:tcPr>
            <w:tcW w:w="2841" w:type="dxa"/>
            <w:tcBorders>
              <w:righ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68.2</w:t>
            </w:r>
          </w:p>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p>
        </w:tc>
      </w:tr>
      <w:tr w:rsidR="006137AC" w:rsidRPr="003122A3" w:rsidTr="00873DF5">
        <w:trPr>
          <w:trHeight w:val="57"/>
          <w:jc w:val="center"/>
        </w:trPr>
        <w:tc>
          <w:tcPr>
            <w:cnfStyle w:val="001000000000"/>
            <w:tcW w:w="2840"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 xml:space="preserve">Low motivation /desire to study </w:t>
            </w:r>
          </w:p>
        </w:tc>
        <w:tc>
          <w:tcPr>
            <w:tcW w:w="2841" w:type="dxa"/>
            <w:tcBorders>
              <w:lef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37.0</w:t>
            </w:r>
          </w:p>
        </w:tc>
        <w:tc>
          <w:tcPr>
            <w:tcW w:w="2841" w:type="dxa"/>
            <w:tcBorders>
              <w:righ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69.8</w:t>
            </w:r>
          </w:p>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p>
        </w:tc>
      </w:tr>
      <w:tr w:rsidR="006137AC" w:rsidRPr="003122A3" w:rsidTr="00873DF5">
        <w:trPr>
          <w:cnfStyle w:val="000000100000"/>
          <w:trHeight w:val="57"/>
          <w:jc w:val="center"/>
        </w:trPr>
        <w:tc>
          <w:tcPr>
            <w:cnfStyle w:val="001000000000"/>
            <w:tcW w:w="2840"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Anxiety</w:t>
            </w:r>
          </w:p>
        </w:tc>
        <w:tc>
          <w:tcPr>
            <w:tcW w:w="2841" w:type="dxa"/>
            <w:tcBorders>
              <w:lef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36.4</w:t>
            </w:r>
          </w:p>
        </w:tc>
        <w:tc>
          <w:tcPr>
            <w:tcW w:w="2841" w:type="dxa"/>
            <w:tcBorders>
              <w:righ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69.4</w:t>
            </w:r>
          </w:p>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p>
        </w:tc>
      </w:tr>
      <w:tr w:rsidR="006137AC" w:rsidRPr="003122A3" w:rsidTr="00873DF5">
        <w:trPr>
          <w:trHeight w:val="57"/>
          <w:jc w:val="center"/>
        </w:trPr>
        <w:tc>
          <w:tcPr>
            <w:cnfStyle w:val="001000000000"/>
            <w:tcW w:w="2840"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Aggressiveness</w:t>
            </w:r>
          </w:p>
        </w:tc>
        <w:tc>
          <w:tcPr>
            <w:tcW w:w="2841" w:type="dxa"/>
            <w:tcBorders>
              <w:lef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36.0</w:t>
            </w:r>
          </w:p>
        </w:tc>
        <w:tc>
          <w:tcPr>
            <w:tcW w:w="2841" w:type="dxa"/>
            <w:tcBorders>
              <w:righ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71.3</w:t>
            </w:r>
          </w:p>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p>
        </w:tc>
      </w:tr>
      <w:tr w:rsidR="006137AC" w:rsidRPr="003122A3" w:rsidTr="00873DF5">
        <w:trPr>
          <w:cnfStyle w:val="000000100000"/>
          <w:trHeight w:val="57"/>
          <w:jc w:val="center"/>
        </w:trPr>
        <w:tc>
          <w:tcPr>
            <w:cnfStyle w:val="001000000000"/>
            <w:tcW w:w="2840"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Speech disorders</w:t>
            </w:r>
          </w:p>
        </w:tc>
        <w:tc>
          <w:tcPr>
            <w:tcW w:w="2841" w:type="dxa"/>
            <w:tcBorders>
              <w:lef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35.0</w:t>
            </w:r>
          </w:p>
        </w:tc>
        <w:tc>
          <w:tcPr>
            <w:tcW w:w="2841" w:type="dxa"/>
            <w:tcBorders>
              <w:righ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71.1</w:t>
            </w:r>
          </w:p>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p>
        </w:tc>
      </w:tr>
      <w:tr w:rsidR="006137AC" w:rsidRPr="003122A3" w:rsidTr="00873DF5">
        <w:trPr>
          <w:trHeight w:val="57"/>
          <w:jc w:val="center"/>
        </w:trPr>
        <w:tc>
          <w:tcPr>
            <w:cnfStyle w:val="001000000000"/>
            <w:tcW w:w="2840"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 xml:space="preserve">Deviant social behavior </w:t>
            </w:r>
          </w:p>
          <w:p w:rsidR="006137AC" w:rsidRPr="00955964" w:rsidRDefault="006137AC" w:rsidP="00452E62">
            <w:pPr>
              <w:pStyle w:val="Heading3"/>
              <w:bidi w:val="0"/>
              <w:spacing w:line="276" w:lineRule="auto"/>
              <w:jc w:val="left"/>
              <w:outlineLvl w:val="2"/>
              <w:rPr>
                <w:rFonts w:cs="Times New Roman"/>
                <w:b w:val="0"/>
                <w:bCs w:val="0"/>
                <w:color w:val="auto"/>
              </w:rPr>
            </w:pPr>
          </w:p>
        </w:tc>
        <w:tc>
          <w:tcPr>
            <w:tcW w:w="2841" w:type="dxa"/>
            <w:tcBorders>
              <w:lef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34.0</w:t>
            </w:r>
          </w:p>
        </w:tc>
        <w:tc>
          <w:tcPr>
            <w:tcW w:w="2841" w:type="dxa"/>
            <w:tcBorders>
              <w:right w:val="single" w:sz="4" w:space="0" w:color="auto"/>
            </w:tcBorders>
          </w:tcPr>
          <w:p w:rsidR="006137AC" w:rsidRPr="00955964" w:rsidRDefault="006137AC" w:rsidP="00452E62">
            <w:pPr>
              <w:pStyle w:val="Heading3"/>
              <w:bidi w:val="0"/>
              <w:spacing w:line="276" w:lineRule="auto"/>
              <w:jc w:val="center"/>
              <w:outlineLvl w:val="2"/>
              <w:cnfStyle w:val="000000000000"/>
              <w:rPr>
                <w:rFonts w:cs="Times New Roman"/>
                <w:b w:val="0"/>
                <w:bCs w:val="0"/>
                <w:color w:val="auto"/>
              </w:rPr>
            </w:pPr>
            <w:r w:rsidRPr="00955964">
              <w:rPr>
                <w:rFonts w:cs="Times New Roman"/>
                <w:b w:val="0"/>
                <w:bCs w:val="0"/>
                <w:color w:val="auto"/>
              </w:rPr>
              <w:t>72.4</w:t>
            </w:r>
          </w:p>
        </w:tc>
      </w:tr>
      <w:tr w:rsidR="006137AC" w:rsidRPr="003122A3" w:rsidTr="00873DF5">
        <w:trPr>
          <w:cnfStyle w:val="000000100000"/>
          <w:trHeight w:val="57"/>
          <w:jc w:val="center"/>
        </w:trPr>
        <w:tc>
          <w:tcPr>
            <w:cnfStyle w:val="001000000000"/>
            <w:tcW w:w="2840" w:type="dxa"/>
            <w:tcBorders>
              <w:top w:val="nil"/>
              <w:left w:val="single" w:sz="4" w:space="0" w:color="auto"/>
              <w:bottom w:val="nil"/>
              <w:right w:val="single" w:sz="4" w:space="0" w:color="auto"/>
            </w:tcBorders>
          </w:tcPr>
          <w:p w:rsidR="006137AC" w:rsidRPr="00955964" w:rsidRDefault="006137AC" w:rsidP="00452E62">
            <w:pPr>
              <w:pStyle w:val="Heading3"/>
              <w:bidi w:val="0"/>
              <w:spacing w:line="276" w:lineRule="auto"/>
              <w:jc w:val="left"/>
              <w:outlineLvl w:val="2"/>
              <w:rPr>
                <w:rFonts w:cs="Times New Roman"/>
                <w:b w:val="0"/>
                <w:bCs w:val="0"/>
                <w:color w:val="auto"/>
              </w:rPr>
            </w:pPr>
            <w:r w:rsidRPr="00955964">
              <w:rPr>
                <w:rFonts w:cs="Times New Roman"/>
                <w:b w:val="0"/>
                <w:bCs w:val="0"/>
                <w:color w:val="auto"/>
              </w:rPr>
              <w:t>Hyperactivity</w:t>
            </w:r>
          </w:p>
        </w:tc>
        <w:tc>
          <w:tcPr>
            <w:tcW w:w="2841" w:type="dxa"/>
            <w:tcBorders>
              <w:lef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43.0</w:t>
            </w:r>
          </w:p>
        </w:tc>
        <w:tc>
          <w:tcPr>
            <w:tcW w:w="2841" w:type="dxa"/>
            <w:tcBorders>
              <w:right w:val="single" w:sz="4" w:space="0" w:color="auto"/>
            </w:tcBorders>
          </w:tcPr>
          <w:p w:rsidR="006137AC" w:rsidRPr="00955964" w:rsidRDefault="006137AC" w:rsidP="00452E62">
            <w:pPr>
              <w:pStyle w:val="Heading3"/>
              <w:bidi w:val="0"/>
              <w:spacing w:line="276" w:lineRule="auto"/>
              <w:jc w:val="center"/>
              <w:outlineLvl w:val="2"/>
              <w:cnfStyle w:val="000000100000"/>
              <w:rPr>
                <w:rFonts w:cs="Times New Roman"/>
                <w:b w:val="0"/>
                <w:bCs w:val="0"/>
                <w:color w:val="auto"/>
              </w:rPr>
            </w:pPr>
            <w:r w:rsidRPr="00955964">
              <w:rPr>
                <w:rFonts w:cs="Times New Roman"/>
                <w:b w:val="0"/>
                <w:bCs w:val="0"/>
                <w:color w:val="auto"/>
              </w:rPr>
              <w:t>65.1</w:t>
            </w:r>
          </w:p>
        </w:tc>
      </w:tr>
      <w:tr w:rsidR="006137AC" w:rsidRPr="003122A3" w:rsidTr="00873DF5">
        <w:trPr>
          <w:trHeight w:val="57"/>
          <w:jc w:val="center"/>
        </w:trPr>
        <w:tc>
          <w:tcPr>
            <w:cnfStyle w:val="001000000000"/>
            <w:tcW w:w="2840" w:type="dxa"/>
            <w:tcBorders>
              <w:top w:val="nil"/>
              <w:left w:val="single" w:sz="4" w:space="0" w:color="auto"/>
              <w:bottom w:val="single" w:sz="4" w:space="0" w:color="auto"/>
              <w:right w:val="single" w:sz="4" w:space="0" w:color="auto"/>
            </w:tcBorders>
          </w:tcPr>
          <w:p w:rsidR="006137AC" w:rsidRPr="00873DF5" w:rsidRDefault="006137AC" w:rsidP="00452E62">
            <w:pPr>
              <w:pStyle w:val="Heading3"/>
              <w:bidi w:val="0"/>
              <w:spacing w:line="276" w:lineRule="auto"/>
              <w:jc w:val="left"/>
              <w:outlineLvl w:val="2"/>
              <w:rPr>
                <w:rFonts w:cs="Times New Roman"/>
                <w:color w:val="auto"/>
              </w:rPr>
            </w:pPr>
          </w:p>
          <w:p w:rsidR="006137AC" w:rsidRPr="00873DF5" w:rsidRDefault="006137AC" w:rsidP="00452E62">
            <w:pPr>
              <w:pStyle w:val="Heading3"/>
              <w:bidi w:val="0"/>
              <w:spacing w:line="276" w:lineRule="auto"/>
              <w:jc w:val="left"/>
              <w:outlineLvl w:val="2"/>
              <w:rPr>
                <w:rFonts w:cs="Times New Roman"/>
                <w:color w:val="auto"/>
              </w:rPr>
            </w:pPr>
            <w:r w:rsidRPr="00873DF5">
              <w:rPr>
                <w:rFonts w:cs="Times New Roman"/>
                <w:color w:val="auto"/>
              </w:rPr>
              <w:t>Total</w:t>
            </w:r>
          </w:p>
        </w:tc>
        <w:tc>
          <w:tcPr>
            <w:tcW w:w="2841" w:type="dxa"/>
            <w:tcBorders>
              <w:left w:val="single" w:sz="4" w:space="0" w:color="auto"/>
              <w:bottom w:val="single" w:sz="4" w:space="0" w:color="auto"/>
            </w:tcBorders>
          </w:tcPr>
          <w:p w:rsidR="006137AC" w:rsidRPr="00873DF5" w:rsidRDefault="006137AC" w:rsidP="00452E62">
            <w:pPr>
              <w:pStyle w:val="Heading3"/>
              <w:bidi w:val="0"/>
              <w:spacing w:line="276" w:lineRule="auto"/>
              <w:jc w:val="center"/>
              <w:outlineLvl w:val="2"/>
              <w:cnfStyle w:val="000000000000"/>
              <w:rPr>
                <w:rFonts w:cs="Times New Roman"/>
                <w:color w:val="auto"/>
              </w:rPr>
            </w:pPr>
          </w:p>
          <w:p w:rsidR="006137AC" w:rsidRPr="00873DF5" w:rsidRDefault="006137AC" w:rsidP="00452E62">
            <w:pPr>
              <w:pStyle w:val="Heading3"/>
              <w:bidi w:val="0"/>
              <w:spacing w:line="276" w:lineRule="auto"/>
              <w:jc w:val="center"/>
              <w:outlineLvl w:val="2"/>
              <w:cnfStyle w:val="000000000000"/>
              <w:rPr>
                <w:rFonts w:cs="Times New Roman"/>
                <w:color w:val="auto"/>
              </w:rPr>
            </w:pPr>
            <w:r w:rsidRPr="00873DF5">
              <w:rPr>
                <w:rFonts w:cs="Times New Roman"/>
                <w:color w:val="auto"/>
              </w:rPr>
              <w:t>38.0</w:t>
            </w:r>
          </w:p>
        </w:tc>
        <w:tc>
          <w:tcPr>
            <w:tcW w:w="2841" w:type="dxa"/>
            <w:tcBorders>
              <w:bottom w:val="single" w:sz="4" w:space="0" w:color="auto"/>
              <w:right w:val="single" w:sz="4" w:space="0" w:color="auto"/>
            </w:tcBorders>
          </w:tcPr>
          <w:p w:rsidR="006137AC" w:rsidRPr="00873DF5" w:rsidRDefault="006137AC" w:rsidP="00452E62">
            <w:pPr>
              <w:pStyle w:val="Heading3"/>
              <w:bidi w:val="0"/>
              <w:spacing w:line="276" w:lineRule="auto"/>
              <w:jc w:val="center"/>
              <w:outlineLvl w:val="2"/>
              <w:cnfStyle w:val="000000000000"/>
              <w:rPr>
                <w:rFonts w:cs="Times New Roman"/>
                <w:color w:val="auto"/>
              </w:rPr>
            </w:pPr>
          </w:p>
          <w:p w:rsidR="006137AC" w:rsidRPr="00873DF5" w:rsidRDefault="006137AC" w:rsidP="00452E62">
            <w:pPr>
              <w:pStyle w:val="Heading3"/>
              <w:bidi w:val="0"/>
              <w:spacing w:line="276" w:lineRule="auto"/>
              <w:jc w:val="center"/>
              <w:outlineLvl w:val="2"/>
              <w:cnfStyle w:val="000000000000"/>
              <w:rPr>
                <w:rFonts w:cs="Times New Roman"/>
                <w:color w:val="auto"/>
              </w:rPr>
            </w:pPr>
            <w:r w:rsidRPr="00873DF5">
              <w:rPr>
                <w:rFonts w:cs="Times New Roman"/>
                <w:color w:val="auto"/>
              </w:rPr>
              <w:t>69.2</w:t>
            </w:r>
          </w:p>
          <w:p w:rsidR="006137AC" w:rsidRPr="00873DF5" w:rsidRDefault="006137AC" w:rsidP="00452E62">
            <w:pPr>
              <w:pStyle w:val="Heading3"/>
              <w:bidi w:val="0"/>
              <w:spacing w:line="276" w:lineRule="auto"/>
              <w:jc w:val="center"/>
              <w:outlineLvl w:val="2"/>
              <w:cnfStyle w:val="000000000000"/>
              <w:rPr>
                <w:rFonts w:cs="Times New Roman"/>
                <w:color w:val="auto"/>
              </w:rPr>
            </w:pPr>
          </w:p>
        </w:tc>
      </w:tr>
    </w:tbl>
    <w:p w:rsidR="006137AC" w:rsidRPr="003122A3" w:rsidRDefault="00DD4FFB" w:rsidP="008E657F">
      <w:pPr>
        <w:jc w:val="both"/>
        <w:rPr>
          <w:rFonts w:ascii="Times New Roman" w:hAnsi="Times New Roman" w:cs="Times New Roman"/>
          <w:iCs/>
          <w:sz w:val="18"/>
          <w:szCs w:val="18"/>
        </w:rPr>
      </w:pPr>
      <w:r w:rsidRPr="003122A3">
        <w:rPr>
          <w:rFonts w:ascii="Times New Roman" w:hAnsi="Times New Roman" w:cs="Times New Roman"/>
          <w:iCs/>
          <w:sz w:val="18"/>
          <w:szCs w:val="18"/>
        </w:rPr>
        <w:t xml:space="preserve">            </w:t>
      </w:r>
      <w:r w:rsidR="006137AC" w:rsidRPr="003122A3">
        <w:rPr>
          <w:rFonts w:ascii="Times New Roman" w:hAnsi="Times New Roman" w:cs="Times New Roman"/>
          <w:iCs/>
          <w:sz w:val="18"/>
          <w:szCs w:val="18"/>
        </w:rPr>
        <w:t>Source: Ministry of Education. Educational databases. General Administration of Planning 2013.</w:t>
      </w:r>
    </w:p>
    <w:p w:rsidR="006137AC" w:rsidRPr="003122A3" w:rsidRDefault="006137AC"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As the figures from 2011 had almost doubled by 2012, this requires further investigation in order to determine whether there is a correlation with an increase in the number and severity of violations by Israel or whether this is due to the Ministry of Education targeting schools and different communities in Area C for the survey. The occupation remains a major obstacle to achieving national educational and qualitative goals as well as justice and equality in accessing services. Despite dedicated efforts on the part of the Ministry to raise the level of education in Palestine, some areas will continue to be marginalized due primarily to the Israeli occupation.</w:t>
      </w:r>
    </w:p>
    <w:p w:rsidR="000E6269" w:rsidRPr="003122A3" w:rsidRDefault="000E6269" w:rsidP="008E657F">
      <w:pPr>
        <w:jc w:val="both"/>
        <w:rPr>
          <w:rFonts w:ascii="Times New Roman" w:hAnsi="Times New Roman" w:cs="Times New Roman"/>
          <w:sz w:val="24"/>
          <w:szCs w:val="24"/>
          <w:rtl/>
          <w:lang w:bidi="ar-JO"/>
        </w:rPr>
      </w:pPr>
    </w:p>
    <w:p w:rsidR="008D3C9E" w:rsidRPr="003122A3" w:rsidRDefault="008D3C9E" w:rsidP="008E657F">
      <w:pPr>
        <w:jc w:val="both"/>
        <w:rPr>
          <w:rFonts w:ascii="Times New Roman" w:hAnsi="Times New Roman" w:cs="Times New Roman"/>
          <w:sz w:val="24"/>
          <w:szCs w:val="24"/>
          <w:rtl/>
        </w:rPr>
      </w:pPr>
    </w:p>
    <w:p w:rsidR="008D3C9E" w:rsidRPr="003122A3" w:rsidRDefault="008D3C9E" w:rsidP="008E657F">
      <w:pPr>
        <w:jc w:val="both"/>
        <w:rPr>
          <w:rFonts w:ascii="Times New Roman" w:hAnsi="Times New Roman" w:cs="Times New Roman"/>
          <w:sz w:val="24"/>
          <w:szCs w:val="24"/>
          <w:rtl/>
        </w:rPr>
      </w:pPr>
      <w:r w:rsidRPr="003122A3">
        <w:rPr>
          <w:rFonts w:ascii="Times New Roman" w:hAnsi="Times New Roman" w:cs="Times New Roman"/>
          <w:sz w:val="24"/>
          <w:szCs w:val="24"/>
          <w:rtl/>
        </w:rPr>
        <w:br w:type="page"/>
      </w:r>
    </w:p>
    <w:p w:rsidR="00D0296E" w:rsidRDefault="00D0296E" w:rsidP="00951AF8">
      <w:pPr>
        <w:pStyle w:val="Heading1"/>
        <w:jc w:val="center"/>
        <w:rPr>
          <w:rFonts w:ascii="Times New Roman" w:hAnsi="Times New Roman" w:cs="Times New Roman"/>
          <w:b w:val="0"/>
          <w:bCs w:val="0"/>
          <w:color w:val="auto"/>
          <w:sz w:val="24"/>
          <w:szCs w:val="24"/>
        </w:rPr>
      </w:pPr>
      <w:bookmarkStart w:id="42" w:name="_Toc420244982"/>
    </w:p>
    <w:p w:rsidR="00D0296E" w:rsidRDefault="00D0296E" w:rsidP="00D0296E">
      <w:pPr>
        <w:rPr>
          <w:rFonts w:eastAsiaTheme="majorEastAsia"/>
        </w:rPr>
      </w:pPr>
      <w:r>
        <w:br w:type="page"/>
      </w:r>
    </w:p>
    <w:p w:rsidR="008F16A4" w:rsidRPr="00883F93" w:rsidRDefault="006137AC" w:rsidP="00951AF8">
      <w:pPr>
        <w:pStyle w:val="Heading1"/>
        <w:jc w:val="center"/>
        <w:rPr>
          <w:rFonts w:ascii="Times New Roman" w:hAnsi="Times New Roman" w:cs="Times New Roman"/>
          <w:b w:val="0"/>
          <w:bCs w:val="0"/>
          <w:color w:val="auto"/>
          <w:sz w:val="24"/>
          <w:szCs w:val="24"/>
          <w:rtl/>
        </w:rPr>
      </w:pPr>
      <w:r w:rsidRPr="00883F93">
        <w:rPr>
          <w:rFonts w:ascii="Times New Roman" w:hAnsi="Times New Roman" w:cs="Times New Roman"/>
          <w:b w:val="0"/>
          <w:bCs w:val="0"/>
          <w:color w:val="auto"/>
          <w:sz w:val="24"/>
          <w:szCs w:val="24"/>
        </w:rPr>
        <w:t>Chapter Four</w:t>
      </w:r>
      <w:bookmarkEnd w:id="42"/>
    </w:p>
    <w:p w:rsidR="008F16A4" w:rsidRPr="003122A3" w:rsidRDefault="006137AC" w:rsidP="00951AF8">
      <w:pPr>
        <w:pStyle w:val="Heading1"/>
        <w:jc w:val="center"/>
        <w:rPr>
          <w:rFonts w:ascii="Times New Roman" w:hAnsi="Times New Roman" w:cs="Times New Roman"/>
          <w:color w:val="auto"/>
          <w:rtl/>
        </w:rPr>
      </w:pPr>
      <w:bookmarkStart w:id="43" w:name="_Toc420244983"/>
      <w:r w:rsidRPr="003122A3">
        <w:rPr>
          <w:rFonts w:ascii="Times New Roman" w:hAnsi="Times New Roman" w:cs="Times New Roman"/>
          <w:color w:val="auto"/>
        </w:rPr>
        <w:t>Health Status</w:t>
      </w:r>
      <w:bookmarkEnd w:id="43"/>
    </w:p>
    <w:p w:rsidR="008F16A4" w:rsidRPr="003122A3" w:rsidRDefault="008F16A4" w:rsidP="008E657F">
      <w:pPr>
        <w:jc w:val="both"/>
        <w:rPr>
          <w:rFonts w:ascii="Times New Roman" w:hAnsi="Times New Roman" w:cs="Times New Roman"/>
          <w:sz w:val="24"/>
          <w:szCs w:val="24"/>
          <w:rtl/>
        </w:rPr>
      </w:pPr>
    </w:p>
    <w:p w:rsidR="00D14B10" w:rsidRDefault="00D14B10"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An investment in children’s health lays the foundation for a healthy society. A suitable legal environment, adequate policy planning and programs and dedicated budgets should support this. Education is needed to raise the awareness of children, families, society in general and also government of choices that support healthy patterns of living that prevent illness. Programs targeting children in general, with a focus on marginalized children and those at risk of marginalization, could reduce the impact of health and social issues among children in Palestine and ultimately reduce the financial burden of protecting children from disease, especially chronic diseases that may result in further complications and disabilities.</w:t>
      </w:r>
    </w:p>
    <w:p w:rsidR="00D0296E" w:rsidRPr="003122A3" w:rsidRDefault="00D0296E" w:rsidP="00D0296E">
      <w:pPr>
        <w:spacing w:after="0" w:line="240" w:lineRule="auto"/>
        <w:jc w:val="both"/>
        <w:rPr>
          <w:rFonts w:ascii="Times New Roman" w:hAnsi="Times New Roman" w:cs="Times New Roman"/>
          <w:sz w:val="24"/>
          <w:szCs w:val="24"/>
        </w:rPr>
      </w:pPr>
    </w:p>
    <w:p w:rsidR="000C508A" w:rsidRPr="003122A3" w:rsidRDefault="005C1AD1" w:rsidP="00D762D2">
      <w:pPr>
        <w:pStyle w:val="Heading2"/>
        <w:ind w:firstLineChars="0" w:firstLine="0"/>
        <w:jc w:val="left"/>
        <w:rPr>
          <w:rFonts w:ascii="Times New Roman" w:hAnsi="Times New Roman" w:cs="Times New Roman"/>
          <w:sz w:val="24"/>
          <w:szCs w:val="24"/>
        </w:rPr>
      </w:pPr>
      <w:bookmarkStart w:id="44" w:name="_Toc420244984"/>
      <w:r w:rsidRPr="003122A3">
        <w:rPr>
          <w:rFonts w:ascii="Times New Roman" w:hAnsi="Times New Roman" w:cs="Times New Roman"/>
          <w:sz w:val="24"/>
          <w:szCs w:val="24"/>
        </w:rPr>
        <w:t xml:space="preserve">4.1 </w:t>
      </w:r>
      <w:r w:rsidR="00D762D2" w:rsidRPr="003122A3">
        <w:rPr>
          <w:rFonts w:ascii="Times New Roman" w:hAnsi="Times New Roman" w:cs="Times New Roman"/>
          <w:sz w:val="24"/>
          <w:szCs w:val="24"/>
        </w:rPr>
        <w:t>Expenditure</w:t>
      </w:r>
      <w:r w:rsidRPr="003122A3">
        <w:rPr>
          <w:rFonts w:ascii="Times New Roman" w:hAnsi="Times New Roman" w:cs="Times New Roman"/>
          <w:sz w:val="24"/>
          <w:szCs w:val="24"/>
        </w:rPr>
        <w:t xml:space="preserve"> </w:t>
      </w:r>
      <w:r w:rsidR="00D762D2" w:rsidRPr="003122A3">
        <w:rPr>
          <w:rFonts w:ascii="Times New Roman" w:hAnsi="Times New Roman" w:cs="Times New Roman"/>
          <w:sz w:val="24"/>
          <w:szCs w:val="24"/>
        </w:rPr>
        <w:t xml:space="preserve">on </w:t>
      </w:r>
      <w:r w:rsidRPr="003122A3">
        <w:rPr>
          <w:rFonts w:ascii="Times New Roman" w:hAnsi="Times New Roman" w:cs="Times New Roman"/>
          <w:sz w:val="24"/>
          <w:szCs w:val="24"/>
        </w:rPr>
        <w:t>Health</w:t>
      </w:r>
      <w:bookmarkEnd w:id="44"/>
    </w:p>
    <w:p w:rsidR="00433E61" w:rsidRPr="00D0296E" w:rsidRDefault="00433E61" w:rsidP="00D0296E">
      <w:pPr>
        <w:spacing w:after="0" w:line="240" w:lineRule="auto"/>
        <w:jc w:val="both"/>
        <w:rPr>
          <w:rFonts w:ascii="Times New Roman" w:hAnsi="Times New Roman" w:cs="Times New Roman"/>
          <w:sz w:val="24"/>
          <w:szCs w:val="24"/>
          <w:rtl/>
        </w:rPr>
      </w:pPr>
    </w:p>
    <w:p w:rsidR="005C1AD1" w:rsidRDefault="005C1AD1" w:rsidP="009C7924">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health sector spending accounts for approximately 11</w:t>
      </w:r>
      <w:r w:rsidR="00911AAA">
        <w:rPr>
          <w:rFonts w:ascii="Times New Roman" w:hAnsi="Times New Roman" w:cs="Times New Roman"/>
          <w:sz w:val="24"/>
          <w:szCs w:val="24"/>
        </w:rPr>
        <w:t>.0</w:t>
      </w:r>
      <w:r w:rsidRPr="003122A3">
        <w:rPr>
          <w:rFonts w:ascii="Times New Roman" w:hAnsi="Times New Roman" w:cs="Times New Roman"/>
          <w:sz w:val="24"/>
          <w:szCs w:val="24"/>
        </w:rPr>
        <w:t xml:space="preserve">% of the public budget. Salaries form the bulk of the expenses of the Ministry, comprising 47.3% in 2011 but falling to 38.3% in 2012. Expenditure on curative/treatment services is ten times higher than that for preventive services. In 2011 the Ministry spent </w:t>
      </w:r>
      <w:r w:rsidR="009C7924">
        <w:rPr>
          <w:rFonts w:ascii="Times New Roman" w:hAnsi="Times New Roman" w:cs="Times New Roman"/>
          <w:sz w:val="24"/>
          <w:szCs w:val="24"/>
        </w:rPr>
        <w:t>65.0</w:t>
      </w:r>
      <w:r w:rsidRPr="003122A3">
        <w:rPr>
          <w:rFonts w:ascii="Times New Roman" w:hAnsi="Times New Roman" w:cs="Times New Roman"/>
          <w:sz w:val="24"/>
          <w:szCs w:val="24"/>
        </w:rPr>
        <w:t xml:space="preserve">% of its budget on curative services compared to 6.6% on preventive services, which was lower than in 2010 (7.3%). Expenses for the treatment of chronic diseases comprise a significant percentage of the ministry’s budget. Data of the General Directorate of Finance in the Ministry of Health show that the total actual expenses (payments) of the Ministry of Health reached 1,299.6 million Israeli </w:t>
      </w:r>
      <w:proofErr w:type="spellStart"/>
      <w:r w:rsidRPr="003122A3">
        <w:rPr>
          <w:rFonts w:ascii="Times New Roman" w:hAnsi="Times New Roman" w:cs="Times New Roman"/>
          <w:sz w:val="24"/>
          <w:szCs w:val="24"/>
        </w:rPr>
        <w:t>Shiekle</w:t>
      </w:r>
      <w:proofErr w:type="spellEnd"/>
      <w:r w:rsidRPr="003122A3">
        <w:rPr>
          <w:rFonts w:ascii="Times New Roman" w:hAnsi="Times New Roman" w:cs="Times New Roman"/>
          <w:sz w:val="24"/>
          <w:szCs w:val="24"/>
        </w:rPr>
        <w:t xml:space="preserve">, with salaries comprising 51.9% thereof. It should be noted that </w:t>
      </w:r>
      <w:proofErr w:type="spellStart"/>
      <w:r w:rsidRPr="003122A3">
        <w:rPr>
          <w:rFonts w:ascii="Times New Roman" w:hAnsi="Times New Roman" w:cs="Times New Roman"/>
          <w:sz w:val="24"/>
          <w:szCs w:val="24"/>
        </w:rPr>
        <w:t>upaid</w:t>
      </w:r>
      <w:proofErr w:type="spellEnd"/>
      <w:r w:rsidRPr="003122A3">
        <w:rPr>
          <w:rFonts w:ascii="Times New Roman" w:hAnsi="Times New Roman" w:cs="Times New Roman"/>
          <w:sz w:val="24"/>
          <w:szCs w:val="24"/>
        </w:rPr>
        <w:t xml:space="preserve"> invoices from the year 2013 were shifted to 2014 and they amount to 697.7 million NIS</w:t>
      </w:r>
      <w:r w:rsidR="00085821">
        <w:rPr>
          <w:rFonts w:ascii="Times New Roman" w:hAnsi="Times New Roman" w:cs="Times New Roman"/>
          <w:sz w:val="24"/>
          <w:szCs w:val="24"/>
        </w:rPr>
        <w:t xml:space="preserve">. </w:t>
      </w:r>
      <w:r w:rsidRPr="003122A3">
        <w:rPr>
          <w:rStyle w:val="FootnoteReference"/>
          <w:rFonts w:ascii="Times New Roman" w:hAnsi="Times New Roman" w:cs="Times New Roman"/>
          <w:sz w:val="24"/>
          <w:szCs w:val="24"/>
          <w:rtl/>
        </w:rPr>
        <w:t xml:space="preserve"> </w:t>
      </w:r>
      <w:r w:rsidRPr="003122A3">
        <w:rPr>
          <w:rStyle w:val="FootnoteReference"/>
          <w:rFonts w:ascii="Times New Roman" w:hAnsi="Times New Roman" w:cs="Times New Roman"/>
          <w:sz w:val="24"/>
          <w:szCs w:val="24"/>
          <w:rtl/>
        </w:rPr>
        <w:footnoteReference w:id="24"/>
      </w:r>
    </w:p>
    <w:p w:rsidR="00D0296E" w:rsidRPr="003122A3" w:rsidRDefault="00D0296E" w:rsidP="00D0296E">
      <w:pPr>
        <w:spacing w:after="0" w:line="240" w:lineRule="auto"/>
        <w:jc w:val="both"/>
        <w:rPr>
          <w:rFonts w:ascii="Times New Roman" w:hAnsi="Times New Roman" w:cs="Times New Roman"/>
          <w:sz w:val="24"/>
          <w:szCs w:val="24"/>
        </w:rPr>
      </w:pPr>
    </w:p>
    <w:p w:rsidR="005C1AD1" w:rsidRDefault="005C1AD1"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addition, the Ministry of Health does not provide any rehabilitation services, so these must be purchased from other providers. The Ministry has focused its policy on the health of the Palestinian child in terms of pre-natal and post natal maternal health, disease prevention, early detection and intervention of disease and disability, relieving suffering and the financial burdens resulting from chronic diseases, accidents and disability.</w:t>
      </w:r>
    </w:p>
    <w:p w:rsidR="00D0296E" w:rsidRPr="003122A3" w:rsidRDefault="00D0296E" w:rsidP="00D0296E">
      <w:pPr>
        <w:spacing w:after="0" w:line="240" w:lineRule="auto"/>
        <w:jc w:val="both"/>
        <w:rPr>
          <w:rFonts w:ascii="Times New Roman" w:hAnsi="Times New Roman" w:cs="Times New Roman"/>
          <w:sz w:val="24"/>
          <w:szCs w:val="24"/>
        </w:rPr>
      </w:pPr>
    </w:p>
    <w:p w:rsidR="005C1AD1" w:rsidRDefault="005C1AD1" w:rsidP="00911AAA">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Spending on health in the years 2012-2013 increased to reach 1,261.9 million US</w:t>
      </w:r>
      <w:r w:rsidR="000957D3" w:rsidRPr="003122A3">
        <w:rPr>
          <w:rFonts w:ascii="Times New Roman" w:hAnsi="Times New Roman" w:cs="Times New Roman"/>
          <w:sz w:val="24"/>
          <w:szCs w:val="24"/>
        </w:rPr>
        <w:t>D</w:t>
      </w:r>
      <w:r w:rsidR="000957D3" w:rsidRPr="003122A3">
        <w:rPr>
          <w:rStyle w:val="CommentReference"/>
          <w:rFonts w:ascii="Times New Roman" w:eastAsia="Times New Roman" w:hAnsi="Times New Roman" w:cs="Times New Roman"/>
          <w:szCs w:val="20"/>
        </w:rPr>
        <w:t xml:space="preserve"> </w:t>
      </w:r>
      <w:r w:rsidRPr="003122A3">
        <w:rPr>
          <w:rFonts w:ascii="Times New Roman" w:hAnsi="Times New Roman" w:cs="Times New Roman"/>
          <w:sz w:val="24"/>
          <w:szCs w:val="24"/>
        </w:rPr>
        <w:t>in 2012; it continued to rise until 2013 to amount to approximately 1,347.4 USD. Results on the sources of funding showed that contribution of households and government institutions (of all types) was the highest in the said period representing 37.7% and 43.3% respectively in 2013. The percentage of health expenditure from the GDP decreased from 11.8% in 2012 to 10.9% in 2013. The average per capita share of total expenses spent on health in Palestine was US</w:t>
      </w:r>
      <w:r w:rsidR="00911AAA">
        <w:rPr>
          <w:rFonts w:ascii="Times New Roman" w:hAnsi="Times New Roman" w:cs="Times New Roman"/>
          <w:sz w:val="24"/>
          <w:szCs w:val="24"/>
        </w:rPr>
        <w:t>D</w:t>
      </w:r>
      <w:r w:rsidRPr="003122A3">
        <w:rPr>
          <w:rFonts w:ascii="Times New Roman" w:hAnsi="Times New Roman" w:cs="Times New Roman"/>
          <w:sz w:val="24"/>
          <w:szCs w:val="24"/>
        </w:rPr>
        <w:t xml:space="preserve"> 304.8 in 2013.</w:t>
      </w:r>
      <w:r w:rsidRPr="003122A3">
        <w:rPr>
          <w:rStyle w:val="FootnoteReference"/>
          <w:rFonts w:ascii="Times New Roman" w:hAnsi="Times New Roman" w:cs="Times New Roman"/>
          <w:sz w:val="24"/>
          <w:szCs w:val="24"/>
          <w:rtl/>
        </w:rPr>
        <w:t xml:space="preserve"> </w:t>
      </w:r>
      <w:r w:rsidRPr="003122A3">
        <w:rPr>
          <w:rStyle w:val="FootnoteReference"/>
          <w:rFonts w:ascii="Times New Roman" w:hAnsi="Times New Roman" w:cs="Times New Roman"/>
          <w:sz w:val="24"/>
          <w:szCs w:val="24"/>
          <w:rtl/>
        </w:rPr>
        <w:footnoteReference w:id="25"/>
      </w:r>
    </w:p>
    <w:p w:rsidR="00883F93" w:rsidRPr="003122A3" w:rsidRDefault="00883F93" w:rsidP="00D0296E">
      <w:pPr>
        <w:spacing w:after="0" w:line="240" w:lineRule="auto"/>
        <w:jc w:val="both"/>
        <w:rPr>
          <w:rFonts w:ascii="Times New Roman" w:hAnsi="Times New Roman" w:cs="Times New Roman"/>
          <w:sz w:val="24"/>
          <w:szCs w:val="24"/>
          <w:rtl/>
        </w:rPr>
      </w:pPr>
    </w:p>
    <w:p w:rsidR="00682499" w:rsidRPr="003122A3" w:rsidRDefault="005C1AD1" w:rsidP="00E924EF">
      <w:pPr>
        <w:pStyle w:val="Heading2"/>
        <w:ind w:firstLineChars="0" w:firstLine="0"/>
        <w:jc w:val="left"/>
        <w:rPr>
          <w:rFonts w:ascii="Times New Roman" w:hAnsi="Times New Roman" w:cs="Times New Roman"/>
          <w:sz w:val="24"/>
          <w:szCs w:val="24"/>
        </w:rPr>
      </w:pPr>
      <w:bookmarkStart w:id="45" w:name="_Toc420244985"/>
      <w:r w:rsidRPr="003122A3">
        <w:rPr>
          <w:rFonts w:ascii="Times New Roman" w:hAnsi="Times New Roman" w:cs="Times New Roman"/>
          <w:sz w:val="24"/>
          <w:szCs w:val="24"/>
        </w:rPr>
        <w:t xml:space="preserve">4.2 </w:t>
      </w:r>
      <w:bookmarkEnd w:id="45"/>
      <w:r w:rsidR="00E924EF" w:rsidRPr="003122A3">
        <w:rPr>
          <w:rFonts w:ascii="Times New Roman" w:hAnsi="Times New Roman" w:cs="Times New Roman"/>
          <w:sz w:val="24"/>
          <w:szCs w:val="24"/>
        </w:rPr>
        <w:t>Antenatal and natal care</w:t>
      </w:r>
    </w:p>
    <w:p w:rsidR="00433E61" w:rsidRPr="00D0296E" w:rsidRDefault="00433E61" w:rsidP="00D0296E">
      <w:pPr>
        <w:spacing w:after="0" w:line="240" w:lineRule="auto"/>
        <w:jc w:val="both"/>
        <w:rPr>
          <w:rFonts w:ascii="Times New Roman" w:hAnsi="Times New Roman" w:cs="Times New Roman"/>
          <w:sz w:val="24"/>
          <w:szCs w:val="24"/>
        </w:rPr>
      </w:pPr>
    </w:p>
    <w:p w:rsidR="005C1AD1" w:rsidRDefault="005C1AD1"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PCBS data show that most women aged 15-49 years who had gi</w:t>
      </w:r>
      <w:r w:rsidR="00E924EF" w:rsidRPr="003122A3">
        <w:rPr>
          <w:rFonts w:ascii="Times New Roman" w:hAnsi="Times New Roman" w:cs="Times New Roman"/>
          <w:sz w:val="24"/>
          <w:szCs w:val="24"/>
        </w:rPr>
        <w:t>v</w:t>
      </w:r>
      <w:r w:rsidRPr="003122A3">
        <w:rPr>
          <w:rFonts w:ascii="Times New Roman" w:hAnsi="Times New Roman" w:cs="Times New Roman"/>
          <w:sz w:val="24"/>
          <w:szCs w:val="24"/>
        </w:rPr>
        <w:t xml:space="preserve">en </w:t>
      </w:r>
      <w:proofErr w:type="spellStart"/>
      <w:r w:rsidRPr="003122A3">
        <w:rPr>
          <w:rFonts w:ascii="Times New Roman" w:hAnsi="Times New Roman" w:cs="Times New Roman"/>
          <w:sz w:val="24"/>
          <w:szCs w:val="24"/>
        </w:rPr>
        <w:t>brith</w:t>
      </w:r>
      <w:proofErr w:type="spellEnd"/>
      <w:r w:rsidRPr="003122A3">
        <w:rPr>
          <w:rFonts w:ascii="Times New Roman" w:hAnsi="Times New Roman" w:cs="Times New Roman"/>
          <w:sz w:val="24"/>
          <w:szCs w:val="24"/>
        </w:rPr>
        <w:t xml:space="preserve"> during the two years prior to the multi-indicator cluster survey of 2014 had received medical care during pregnancy at least four times (95.5%). The percentage in the West Bank was 95.7% compared to 95.3%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The highest percentage was in Tubas with 100.0%, and the lowest in </w:t>
      </w:r>
      <w:proofErr w:type="spellStart"/>
      <w:r w:rsidRPr="003122A3">
        <w:rPr>
          <w:rFonts w:ascii="Times New Roman" w:hAnsi="Times New Roman" w:cs="Times New Roman"/>
          <w:sz w:val="24"/>
          <w:szCs w:val="24"/>
        </w:rPr>
        <w:t>Salf</w:t>
      </w:r>
      <w:r w:rsidR="00E924EF" w:rsidRPr="003122A3">
        <w:rPr>
          <w:rFonts w:ascii="Times New Roman" w:hAnsi="Times New Roman" w:cs="Times New Roman"/>
          <w:sz w:val="24"/>
          <w:szCs w:val="24"/>
        </w:rPr>
        <w:t>i</w:t>
      </w:r>
      <w:r w:rsidRPr="003122A3">
        <w:rPr>
          <w:rFonts w:ascii="Times New Roman" w:hAnsi="Times New Roman" w:cs="Times New Roman"/>
          <w:sz w:val="24"/>
          <w:szCs w:val="24"/>
        </w:rPr>
        <w:t>t</w:t>
      </w:r>
      <w:proofErr w:type="spellEnd"/>
      <w:r w:rsidRPr="003122A3">
        <w:rPr>
          <w:rFonts w:ascii="Times New Roman" w:hAnsi="Times New Roman" w:cs="Times New Roman"/>
          <w:sz w:val="24"/>
          <w:szCs w:val="24"/>
        </w:rPr>
        <w:t xml:space="preserve"> with 93.1% in the West Bank. The highest percentage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was in </w:t>
      </w:r>
      <w:proofErr w:type="spellStart"/>
      <w:r w:rsidRPr="003122A3">
        <w:rPr>
          <w:rFonts w:ascii="Times New Roman" w:hAnsi="Times New Roman" w:cs="Times New Roman"/>
          <w:sz w:val="24"/>
          <w:szCs w:val="24"/>
        </w:rPr>
        <w:t>Rafah</w:t>
      </w:r>
      <w:proofErr w:type="spellEnd"/>
      <w:r w:rsidRPr="003122A3">
        <w:rPr>
          <w:rFonts w:ascii="Times New Roman" w:hAnsi="Times New Roman" w:cs="Times New Roman"/>
          <w:sz w:val="24"/>
          <w:szCs w:val="24"/>
        </w:rPr>
        <w:t xml:space="preserve"> with 98.8% and the lowest in </w:t>
      </w:r>
      <w:r w:rsidR="000957D3" w:rsidRPr="003122A3">
        <w:rPr>
          <w:rFonts w:ascii="Times New Roman" w:hAnsi="Times New Roman" w:cs="Times New Roman"/>
          <w:sz w:val="24"/>
          <w:szCs w:val="24"/>
        </w:rPr>
        <w:t xml:space="preserve">Khan </w:t>
      </w:r>
      <w:proofErr w:type="spellStart"/>
      <w:r w:rsidR="000957D3" w:rsidRPr="003122A3">
        <w:rPr>
          <w:rFonts w:ascii="Times New Roman" w:hAnsi="Times New Roman" w:cs="Times New Roman"/>
          <w:sz w:val="24"/>
          <w:szCs w:val="24"/>
        </w:rPr>
        <w:t>Yunis</w:t>
      </w:r>
      <w:proofErr w:type="spellEnd"/>
      <w:r w:rsidRPr="003122A3">
        <w:rPr>
          <w:rFonts w:ascii="Times New Roman" w:hAnsi="Times New Roman" w:cs="Times New Roman"/>
          <w:sz w:val="24"/>
          <w:szCs w:val="24"/>
        </w:rPr>
        <w:t xml:space="preserve"> with 91.6%</w:t>
      </w:r>
      <w:r w:rsidRPr="003122A3">
        <w:rPr>
          <w:rStyle w:val="FootnoteReference"/>
          <w:rFonts w:ascii="Times New Roman" w:hAnsi="Times New Roman" w:cs="Times New Roman"/>
          <w:sz w:val="24"/>
          <w:szCs w:val="24"/>
          <w:rtl/>
        </w:rPr>
        <w:footnoteReference w:id="26"/>
      </w:r>
      <w:r w:rsidRPr="003122A3">
        <w:rPr>
          <w:rFonts w:ascii="Times New Roman" w:hAnsi="Times New Roman" w:cs="Times New Roman"/>
          <w:sz w:val="24"/>
          <w:szCs w:val="24"/>
          <w:rtl/>
        </w:rPr>
        <w:t>.</w:t>
      </w:r>
      <w:r w:rsidRPr="003122A3">
        <w:rPr>
          <w:rFonts w:ascii="Times New Roman" w:hAnsi="Times New Roman" w:cs="Times New Roman"/>
          <w:sz w:val="24"/>
          <w:szCs w:val="24"/>
        </w:rPr>
        <w:t>. The survey results also showed that delivery at home constituted 0.5% while all other deliveries were in medical establishments.</w:t>
      </w:r>
    </w:p>
    <w:p w:rsidR="00D0296E" w:rsidRPr="003122A3" w:rsidRDefault="00D0296E" w:rsidP="00D0296E">
      <w:pPr>
        <w:spacing w:after="0" w:line="240" w:lineRule="auto"/>
        <w:jc w:val="both"/>
        <w:rPr>
          <w:rFonts w:ascii="Times New Roman" w:hAnsi="Times New Roman" w:cs="Times New Roman"/>
          <w:sz w:val="24"/>
          <w:szCs w:val="24"/>
          <w:rtl/>
        </w:rPr>
      </w:pPr>
    </w:p>
    <w:p w:rsidR="00682499" w:rsidRPr="003122A3" w:rsidRDefault="008C6F19" w:rsidP="00DD1A2F">
      <w:pPr>
        <w:pStyle w:val="Caption"/>
        <w:bidi w:val="0"/>
        <w:rPr>
          <w:b w:val="0"/>
          <w:bCs w:val="0"/>
          <w:sz w:val="22"/>
          <w:szCs w:val="22"/>
          <w:rtl/>
        </w:rPr>
      </w:pPr>
      <w:bookmarkStart w:id="46" w:name="_Toc420268228"/>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14</w:t>
      </w:r>
      <w:r w:rsidR="008F57C8" w:rsidRPr="003122A3">
        <w:rPr>
          <w:sz w:val="22"/>
          <w:szCs w:val="24"/>
        </w:rPr>
        <w:fldChar w:fldCharType="end"/>
      </w:r>
      <w:r w:rsidRPr="003122A3">
        <w:rPr>
          <w:sz w:val="22"/>
          <w:szCs w:val="24"/>
        </w:rPr>
        <w:t>: Percentage of Women</w:t>
      </w:r>
      <w:r w:rsidR="008C25DD" w:rsidRPr="003122A3">
        <w:rPr>
          <w:sz w:val="22"/>
          <w:szCs w:val="24"/>
        </w:rPr>
        <w:t xml:space="preserve"> (15-49 years)</w:t>
      </w:r>
      <w:r w:rsidRPr="003122A3">
        <w:rPr>
          <w:sz w:val="22"/>
          <w:szCs w:val="24"/>
        </w:rPr>
        <w:t xml:space="preserve"> who Received </w:t>
      </w:r>
      <w:r w:rsidR="00DD1A2F" w:rsidRPr="003122A3">
        <w:rPr>
          <w:szCs w:val="24"/>
        </w:rPr>
        <w:t>Antenatal care</w:t>
      </w:r>
      <w:r w:rsidRPr="003122A3">
        <w:rPr>
          <w:sz w:val="22"/>
          <w:szCs w:val="24"/>
        </w:rPr>
        <w:t>, 2014</w:t>
      </w:r>
      <w:bookmarkEnd w:id="46"/>
    </w:p>
    <w:p w:rsidR="00682499" w:rsidRPr="003122A3" w:rsidRDefault="00682499" w:rsidP="00D2533C">
      <w:pPr>
        <w:jc w:val="center"/>
        <w:rPr>
          <w:rFonts w:ascii="Times New Roman" w:hAnsi="Times New Roman" w:cs="Times New Roman"/>
          <w:sz w:val="24"/>
          <w:szCs w:val="24"/>
          <w:rtl/>
        </w:rPr>
      </w:pPr>
      <w:r w:rsidRPr="003122A3">
        <w:rPr>
          <w:rFonts w:ascii="Times New Roman" w:hAnsi="Times New Roman" w:cs="Times New Roman"/>
          <w:noProof/>
          <w:sz w:val="24"/>
          <w:szCs w:val="24"/>
          <w:rtl/>
        </w:rPr>
        <w:drawing>
          <wp:inline distT="0" distB="0" distL="0" distR="0">
            <wp:extent cx="5970905" cy="1876425"/>
            <wp:effectExtent l="19050" t="0" r="10795" b="0"/>
            <wp:docPr id="26"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C1AD1" w:rsidRPr="003122A3" w:rsidRDefault="005C1AD1" w:rsidP="005C176A">
      <w:pPr>
        <w:jc w:val="both"/>
        <w:rPr>
          <w:rFonts w:ascii="Times New Roman" w:hAnsi="Times New Roman" w:cs="Times New Roman"/>
          <w:sz w:val="18"/>
          <w:szCs w:val="18"/>
          <w:rtl/>
        </w:rPr>
      </w:pPr>
      <w:r w:rsidRPr="003122A3">
        <w:rPr>
          <w:rFonts w:ascii="Times New Roman" w:hAnsi="Times New Roman" w:cs="Times New Roman"/>
          <w:sz w:val="18"/>
          <w:szCs w:val="18"/>
        </w:rPr>
        <w:t>Source: Palestinian Central Bureau of Statistics, 2015. Palestinian Multi</w:t>
      </w:r>
      <w:r w:rsidR="005C4716" w:rsidRPr="003122A3">
        <w:rPr>
          <w:rFonts w:ascii="Times New Roman" w:hAnsi="Times New Roman" w:cs="Times New Roman"/>
          <w:sz w:val="18"/>
          <w:szCs w:val="18"/>
        </w:rPr>
        <w:t>ple</w:t>
      </w:r>
      <w:r w:rsidRPr="003122A3">
        <w:rPr>
          <w:rFonts w:ascii="Times New Roman" w:hAnsi="Times New Roman" w:cs="Times New Roman"/>
          <w:sz w:val="18"/>
          <w:szCs w:val="18"/>
        </w:rPr>
        <w:t xml:space="preserve">-Indicator Cluster Survey, 2014. </w:t>
      </w:r>
      <w:r w:rsidR="005C4716" w:rsidRPr="003122A3">
        <w:rPr>
          <w:rFonts w:ascii="Times New Roman" w:hAnsi="Times New Roman" w:cs="Times New Roman"/>
          <w:sz w:val="18"/>
          <w:szCs w:val="18"/>
        </w:rPr>
        <w:t>Key findings</w:t>
      </w:r>
      <w:r w:rsidRPr="003122A3">
        <w:rPr>
          <w:rFonts w:ascii="Times New Roman" w:hAnsi="Times New Roman" w:cs="Times New Roman"/>
          <w:sz w:val="18"/>
          <w:szCs w:val="18"/>
        </w:rPr>
        <w:t xml:space="preserve"> Results</w:t>
      </w:r>
    </w:p>
    <w:p w:rsidR="005C1AD1" w:rsidRPr="003122A3" w:rsidRDefault="005C1AD1" w:rsidP="00D0296E">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 xml:space="preserve">On another level, the percentage of women aging 20-24 years who delivered children when they were less than 18 years old reached 22.0%, and was highest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with 25.1% in comparison to 19.6% in the West Bank.</w:t>
      </w:r>
    </w:p>
    <w:p w:rsidR="00D2533C" w:rsidRPr="00D0296E" w:rsidRDefault="00D2533C" w:rsidP="00D0296E">
      <w:pPr>
        <w:pStyle w:val="Heading2"/>
        <w:ind w:firstLine="241"/>
        <w:jc w:val="left"/>
        <w:rPr>
          <w:rFonts w:ascii="Times New Roman" w:hAnsi="Times New Roman" w:cs="Times New Roman"/>
          <w:sz w:val="24"/>
          <w:szCs w:val="24"/>
        </w:rPr>
      </w:pPr>
      <w:bookmarkStart w:id="47" w:name="_Toc420244986"/>
    </w:p>
    <w:p w:rsidR="00682499" w:rsidRPr="003122A3" w:rsidRDefault="005C1AD1" w:rsidP="00433E61">
      <w:pPr>
        <w:pStyle w:val="Heading2"/>
        <w:ind w:firstLineChars="0" w:firstLine="0"/>
        <w:jc w:val="left"/>
        <w:rPr>
          <w:rFonts w:ascii="Times New Roman" w:hAnsi="Times New Roman" w:cs="Times New Roman"/>
          <w:sz w:val="24"/>
          <w:szCs w:val="24"/>
        </w:rPr>
      </w:pPr>
      <w:r w:rsidRPr="003122A3">
        <w:rPr>
          <w:rFonts w:ascii="Times New Roman" w:hAnsi="Times New Roman" w:cs="Times New Roman"/>
          <w:sz w:val="24"/>
          <w:szCs w:val="24"/>
        </w:rPr>
        <w:t>4.3 Child Mortality</w:t>
      </w:r>
      <w:bookmarkEnd w:id="47"/>
    </w:p>
    <w:p w:rsidR="00433E61" w:rsidRPr="00D0296E" w:rsidRDefault="00433E61" w:rsidP="00D0296E">
      <w:pPr>
        <w:pStyle w:val="Heading2"/>
        <w:ind w:firstLine="241"/>
        <w:jc w:val="left"/>
        <w:rPr>
          <w:rFonts w:ascii="Times New Roman" w:hAnsi="Times New Roman" w:cs="Times New Roman"/>
          <w:sz w:val="24"/>
          <w:szCs w:val="24"/>
          <w:rtl/>
        </w:rPr>
      </w:pPr>
    </w:p>
    <w:p w:rsidR="005C1AD1" w:rsidRPr="003122A3" w:rsidRDefault="005C1AD1" w:rsidP="00D0296E">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 xml:space="preserve">Infant mortality is considered an indicator of social and health conditions in a country. In general, </w:t>
      </w:r>
      <w:r w:rsidR="00D2533C" w:rsidRPr="003122A3">
        <w:rPr>
          <w:rFonts w:ascii="Times New Roman" w:hAnsi="Times New Roman" w:cs="Times New Roman"/>
          <w:sz w:val="24"/>
          <w:szCs w:val="24"/>
        </w:rPr>
        <w:t>A</w:t>
      </w:r>
      <w:r w:rsidRPr="003122A3">
        <w:rPr>
          <w:rFonts w:ascii="Times New Roman" w:hAnsi="Times New Roman" w:cs="Times New Roman"/>
          <w:sz w:val="24"/>
          <w:szCs w:val="24"/>
        </w:rPr>
        <w:t xml:space="preserve"> decline in child mortality and children under five years of age was noticed in Palestine in the past two decades.</w:t>
      </w:r>
    </w:p>
    <w:p w:rsidR="00D2533C" w:rsidRPr="003122A3" w:rsidRDefault="00D2533C" w:rsidP="00D2533C">
      <w:pPr>
        <w:pStyle w:val="Caption"/>
        <w:bidi w:val="0"/>
      </w:pPr>
      <w:bookmarkStart w:id="48" w:name="_Toc420268229"/>
    </w:p>
    <w:p w:rsidR="0028518C" w:rsidRPr="003122A3" w:rsidRDefault="0028518C" w:rsidP="0028518C">
      <w:pPr>
        <w:pStyle w:val="Caption"/>
        <w:bidi w:val="0"/>
        <w:rPr>
          <w:b w:val="0"/>
          <w:bCs w:val="0"/>
          <w:sz w:val="22"/>
          <w:szCs w:val="22"/>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15</w:t>
      </w:r>
      <w:r w:rsidR="008F57C8" w:rsidRPr="003122A3">
        <w:rPr>
          <w:sz w:val="22"/>
          <w:szCs w:val="24"/>
        </w:rPr>
        <w:fldChar w:fldCharType="end"/>
      </w:r>
      <w:r w:rsidRPr="003122A3">
        <w:rPr>
          <w:sz w:val="22"/>
          <w:szCs w:val="24"/>
        </w:rPr>
        <w:t>: Infant Mortality per Region in Palestine in Selected Years</w:t>
      </w:r>
    </w:p>
    <w:p w:rsidR="00D2533C" w:rsidRPr="003122A3" w:rsidRDefault="0028518C" w:rsidP="00D2533C">
      <w:pPr>
        <w:pStyle w:val="Caption"/>
        <w:bidi w:val="0"/>
      </w:pPr>
      <w:r w:rsidRPr="003122A3">
        <w:drawing>
          <wp:inline distT="0" distB="0" distL="0" distR="0">
            <wp:extent cx="5969695" cy="2889849"/>
            <wp:effectExtent l="19050" t="0" r="12005" b="5751"/>
            <wp:docPr id="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01CDA" w:rsidRPr="003122A3" w:rsidRDefault="0028518C" w:rsidP="0028518C">
      <w:pPr>
        <w:pStyle w:val="Caption"/>
        <w:bidi w:val="0"/>
        <w:jc w:val="left"/>
        <w:rPr>
          <w:b w:val="0"/>
          <w:bCs w:val="0"/>
          <w:sz w:val="18"/>
          <w:szCs w:val="18"/>
        </w:rPr>
      </w:pPr>
      <w:r w:rsidRPr="003122A3">
        <w:rPr>
          <w:b w:val="0"/>
          <w:bCs w:val="0"/>
          <w:color w:val="FF0000"/>
          <w:sz w:val="18"/>
          <w:szCs w:val="18"/>
          <w:rtl/>
        </w:rPr>
        <w:t xml:space="preserve">    </w:t>
      </w:r>
      <w:r w:rsidRPr="003122A3">
        <w:rPr>
          <w:b w:val="0"/>
          <w:bCs w:val="0"/>
          <w:color w:val="FF0000"/>
          <w:sz w:val="18"/>
          <w:szCs w:val="18"/>
        </w:rPr>
        <w:t xml:space="preserve">  </w:t>
      </w:r>
      <w:r w:rsidRPr="003122A3">
        <w:rPr>
          <w:b w:val="0"/>
          <w:bCs w:val="0"/>
          <w:color w:val="FF0000"/>
          <w:sz w:val="18"/>
          <w:szCs w:val="18"/>
          <w:rtl/>
        </w:rPr>
        <w:t xml:space="preserve"> </w:t>
      </w:r>
      <w:r w:rsidRPr="003122A3">
        <w:rPr>
          <w:b w:val="0"/>
          <w:bCs w:val="0"/>
          <w:color w:val="FF0000"/>
          <w:sz w:val="18"/>
          <w:szCs w:val="18"/>
        </w:rPr>
        <w:t xml:space="preserve">                </w:t>
      </w:r>
      <w:r w:rsidRPr="003122A3">
        <w:rPr>
          <w:b w:val="0"/>
          <w:bCs w:val="0"/>
          <w:color w:val="FF0000"/>
          <w:sz w:val="18"/>
          <w:szCs w:val="18"/>
          <w:rtl/>
        </w:rPr>
        <w:t xml:space="preserve"> </w:t>
      </w:r>
    </w:p>
    <w:p w:rsidR="0028518C" w:rsidRDefault="0028518C" w:rsidP="00085821">
      <w:pPr>
        <w:pStyle w:val="Caption"/>
        <w:bidi w:val="0"/>
        <w:jc w:val="left"/>
        <w:rPr>
          <w:b w:val="0"/>
          <w:bCs w:val="0"/>
          <w:sz w:val="18"/>
          <w:szCs w:val="18"/>
        </w:rPr>
      </w:pPr>
      <w:r w:rsidRPr="003122A3">
        <w:rPr>
          <w:b w:val="0"/>
          <w:bCs w:val="0"/>
          <w:sz w:val="18"/>
          <w:szCs w:val="18"/>
          <w:rtl/>
        </w:rPr>
        <w:t xml:space="preserve">  </w:t>
      </w:r>
      <w:r w:rsidR="00F01CDA" w:rsidRPr="003122A3">
        <w:rPr>
          <w:b w:val="0"/>
          <w:bCs w:val="0"/>
          <w:sz w:val="18"/>
          <w:szCs w:val="18"/>
        </w:rPr>
        <w:t xml:space="preserve">    </w:t>
      </w:r>
      <w:r w:rsidRPr="003122A3">
        <w:rPr>
          <w:b w:val="0"/>
          <w:bCs w:val="0"/>
          <w:sz w:val="18"/>
          <w:szCs w:val="18"/>
        </w:rPr>
        <w:t xml:space="preserve">Source: PCBS 2015 , </w:t>
      </w:r>
      <w:r w:rsidR="009C7924" w:rsidRPr="009C7924">
        <w:rPr>
          <w:b w:val="0"/>
          <w:bCs w:val="0"/>
          <w:sz w:val="18"/>
          <w:szCs w:val="18"/>
        </w:rPr>
        <w:t>Multiple</w:t>
      </w:r>
      <w:r w:rsidR="004B1772">
        <w:rPr>
          <w:b w:val="0"/>
          <w:bCs w:val="0"/>
          <w:sz w:val="18"/>
          <w:szCs w:val="18"/>
        </w:rPr>
        <w:t xml:space="preserve"> </w:t>
      </w:r>
      <w:r w:rsidRPr="003122A3">
        <w:rPr>
          <w:b w:val="0"/>
          <w:bCs w:val="0"/>
          <w:sz w:val="18"/>
          <w:szCs w:val="18"/>
        </w:rPr>
        <w:t>Indicator</w:t>
      </w:r>
      <w:r w:rsidR="004B1772">
        <w:rPr>
          <w:b w:val="0"/>
          <w:bCs w:val="0"/>
          <w:sz w:val="18"/>
          <w:szCs w:val="18"/>
        </w:rPr>
        <w:t xml:space="preserve"> Cluster</w:t>
      </w:r>
      <w:r w:rsidRPr="003122A3">
        <w:rPr>
          <w:b w:val="0"/>
          <w:bCs w:val="0"/>
          <w:sz w:val="18"/>
          <w:szCs w:val="18"/>
        </w:rPr>
        <w:t xml:space="preserve"> Survey, 2014, </w:t>
      </w:r>
      <w:r w:rsidR="009C7924" w:rsidRPr="009C7924">
        <w:rPr>
          <w:b w:val="0"/>
          <w:bCs w:val="0"/>
          <w:sz w:val="18"/>
          <w:szCs w:val="18"/>
        </w:rPr>
        <w:t>Key findings</w:t>
      </w:r>
      <w:r w:rsidR="000A74B7">
        <w:rPr>
          <w:b w:val="0"/>
          <w:bCs w:val="0"/>
          <w:sz w:val="18"/>
          <w:szCs w:val="18"/>
        </w:rPr>
        <w:t xml:space="preserve"> Results.</w:t>
      </w:r>
    </w:p>
    <w:p w:rsidR="00D0296E" w:rsidRDefault="00D0296E" w:rsidP="00D0296E"/>
    <w:p w:rsidR="00D0296E" w:rsidRPr="00D0296E" w:rsidRDefault="00D0296E" w:rsidP="00D0296E"/>
    <w:p w:rsidR="0028518C" w:rsidRPr="003122A3" w:rsidRDefault="0028518C" w:rsidP="0028518C">
      <w:pPr>
        <w:pStyle w:val="Caption"/>
        <w:bidi w:val="0"/>
        <w:rPr>
          <w:b w:val="0"/>
          <w:bCs w:val="0"/>
          <w:sz w:val="22"/>
          <w:szCs w:val="22"/>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16</w:t>
      </w:r>
      <w:r w:rsidR="008F57C8" w:rsidRPr="003122A3">
        <w:rPr>
          <w:sz w:val="22"/>
          <w:szCs w:val="24"/>
        </w:rPr>
        <w:fldChar w:fldCharType="end"/>
      </w:r>
      <w:r w:rsidRPr="003122A3">
        <w:rPr>
          <w:sz w:val="22"/>
          <w:szCs w:val="24"/>
        </w:rPr>
        <w:t>: Mortality of Children Below Five Years by Region in Palestine in Selected Years</w:t>
      </w:r>
    </w:p>
    <w:p w:rsidR="0028518C" w:rsidRPr="003122A3" w:rsidRDefault="0028518C" w:rsidP="0028518C">
      <w:pPr>
        <w:jc w:val="center"/>
        <w:rPr>
          <w:rFonts w:ascii="Times New Roman" w:hAnsi="Times New Roman" w:cs="Times New Roman"/>
        </w:rPr>
      </w:pPr>
      <w:r w:rsidRPr="003122A3">
        <w:rPr>
          <w:rFonts w:ascii="Times New Roman" w:hAnsi="Times New Roman" w:cs="Times New Roman"/>
          <w:noProof/>
        </w:rPr>
        <w:drawing>
          <wp:inline distT="0" distB="0" distL="0" distR="0">
            <wp:extent cx="5695950" cy="2667000"/>
            <wp:effectExtent l="19050" t="0" r="1905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28518C" w:rsidRPr="003122A3" w:rsidRDefault="0028518C" w:rsidP="00085821">
      <w:pPr>
        <w:pStyle w:val="Caption"/>
        <w:bidi w:val="0"/>
        <w:jc w:val="left"/>
        <w:rPr>
          <w:b w:val="0"/>
          <w:bCs w:val="0"/>
          <w:sz w:val="22"/>
          <w:szCs w:val="24"/>
        </w:rPr>
      </w:pPr>
      <w:r w:rsidRPr="003122A3">
        <w:rPr>
          <w:sz w:val="18"/>
          <w:szCs w:val="18"/>
          <w:rtl/>
        </w:rPr>
        <w:t xml:space="preserve">    </w:t>
      </w:r>
      <w:r w:rsidRPr="003122A3">
        <w:rPr>
          <w:sz w:val="18"/>
          <w:szCs w:val="18"/>
        </w:rPr>
        <w:t xml:space="preserve">  </w:t>
      </w:r>
      <w:r w:rsidRPr="003122A3">
        <w:rPr>
          <w:sz w:val="18"/>
          <w:szCs w:val="18"/>
          <w:rtl/>
        </w:rPr>
        <w:t xml:space="preserve">  </w:t>
      </w:r>
      <w:r w:rsidRPr="003122A3">
        <w:rPr>
          <w:sz w:val="18"/>
          <w:szCs w:val="18"/>
        </w:rPr>
        <w:t xml:space="preserve">     </w:t>
      </w:r>
      <w:r w:rsidRPr="003122A3">
        <w:rPr>
          <w:b w:val="0"/>
          <w:bCs w:val="0"/>
          <w:sz w:val="18"/>
          <w:szCs w:val="18"/>
        </w:rPr>
        <w:t xml:space="preserve">Source: PCBS 2015 </w:t>
      </w:r>
      <w:r w:rsidR="00140B2A" w:rsidRPr="009C7924">
        <w:rPr>
          <w:b w:val="0"/>
          <w:bCs w:val="0"/>
          <w:sz w:val="18"/>
          <w:szCs w:val="18"/>
        </w:rPr>
        <w:t>Multiple</w:t>
      </w:r>
      <w:r w:rsidR="004B1772">
        <w:rPr>
          <w:b w:val="0"/>
          <w:bCs w:val="0"/>
          <w:sz w:val="18"/>
          <w:szCs w:val="18"/>
        </w:rPr>
        <w:t xml:space="preserve"> </w:t>
      </w:r>
      <w:r w:rsidR="004B1772" w:rsidRPr="003122A3">
        <w:rPr>
          <w:b w:val="0"/>
          <w:bCs w:val="0"/>
          <w:sz w:val="18"/>
          <w:szCs w:val="18"/>
        </w:rPr>
        <w:t>Indicator</w:t>
      </w:r>
      <w:r w:rsidR="004B1772">
        <w:rPr>
          <w:b w:val="0"/>
          <w:bCs w:val="0"/>
          <w:sz w:val="18"/>
          <w:szCs w:val="18"/>
        </w:rPr>
        <w:t xml:space="preserve"> Cluster</w:t>
      </w:r>
      <w:r w:rsidR="004B1772" w:rsidRPr="003122A3">
        <w:rPr>
          <w:b w:val="0"/>
          <w:bCs w:val="0"/>
          <w:sz w:val="18"/>
          <w:szCs w:val="18"/>
        </w:rPr>
        <w:t xml:space="preserve"> </w:t>
      </w:r>
      <w:r w:rsidRPr="003122A3">
        <w:rPr>
          <w:b w:val="0"/>
          <w:bCs w:val="0"/>
          <w:sz w:val="18"/>
          <w:szCs w:val="18"/>
        </w:rPr>
        <w:t xml:space="preserve">Survey, 2014, </w:t>
      </w:r>
      <w:r w:rsidR="00140B2A" w:rsidRPr="00140B2A">
        <w:rPr>
          <w:b w:val="0"/>
          <w:bCs w:val="0"/>
          <w:sz w:val="18"/>
          <w:szCs w:val="18"/>
        </w:rPr>
        <w:t>Key findings</w:t>
      </w:r>
      <w:r w:rsidRPr="003122A3">
        <w:rPr>
          <w:b w:val="0"/>
          <w:bCs w:val="0"/>
          <w:sz w:val="18"/>
          <w:szCs w:val="18"/>
        </w:rPr>
        <w:t xml:space="preserve"> Results</w:t>
      </w:r>
      <w:r w:rsidR="00550286">
        <w:rPr>
          <w:b w:val="0"/>
          <w:bCs w:val="0"/>
          <w:sz w:val="18"/>
          <w:szCs w:val="18"/>
        </w:rPr>
        <w:t>.</w:t>
      </w:r>
    </w:p>
    <w:p w:rsidR="0028518C" w:rsidRPr="003122A3" w:rsidRDefault="0028518C" w:rsidP="0028518C">
      <w:pPr>
        <w:pStyle w:val="Caption"/>
        <w:bidi w:val="0"/>
        <w:rPr>
          <w:sz w:val="22"/>
          <w:szCs w:val="24"/>
        </w:rPr>
      </w:pPr>
    </w:p>
    <w:bookmarkEnd w:id="48"/>
    <w:p w:rsidR="005C1AD1" w:rsidRDefault="005C1AD1" w:rsidP="00D0296E">
      <w:pPr>
        <w:spacing w:after="0" w:line="240" w:lineRule="auto"/>
        <w:jc w:val="both"/>
        <w:rPr>
          <w:rFonts w:ascii="Times New Roman" w:hAnsi="Times New Roman" w:cs="Times New Roman"/>
          <w:noProof/>
          <w:sz w:val="24"/>
          <w:szCs w:val="24"/>
        </w:rPr>
      </w:pPr>
      <w:r w:rsidRPr="003122A3">
        <w:rPr>
          <w:rFonts w:ascii="Times New Roman" w:hAnsi="Times New Roman" w:cs="Times New Roman"/>
          <w:noProof/>
          <w:sz w:val="24"/>
          <w:szCs w:val="24"/>
        </w:rPr>
        <w:t>Administrative records of the Ministry of Health indicate that congenital malformations were the main cause of infant mortality with a toll of 27.6%, followed by severe respiratory failure with 15.4%, blood poisining with 13.1%, sudden infant death with 12.8%, stillbirths with 11.5% and premature births with 6.7%.</w:t>
      </w:r>
      <w:r w:rsidR="00085821">
        <w:rPr>
          <w:rFonts w:ascii="Times New Roman" w:hAnsi="Times New Roman" w:cs="Times New Roman"/>
          <w:noProof/>
          <w:sz w:val="24"/>
          <w:szCs w:val="24"/>
        </w:rPr>
        <w:t xml:space="preserve"> </w:t>
      </w:r>
      <w:r w:rsidRPr="003122A3">
        <w:rPr>
          <w:rStyle w:val="FootnoteReference"/>
          <w:rFonts w:ascii="Times New Roman" w:hAnsi="Times New Roman" w:cs="Times New Roman"/>
          <w:noProof/>
          <w:sz w:val="24"/>
          <w:szCs w:val="24"/>
          <w:rtl/>
        </w:rPr>
        <w:footnoteReference w:id="27"/>
      </w:r>
    </w:p>
    <w:p w:rsidR="00D0296E" w:rsidRPr="003122A3" w:rsidRDefault="00D0296E" w:rsidP="00D0296E">
      <w:pPr>
        <w:spacing w:after="0" w:line="240" w:lineRule="auto"/>
        <w:jc w:val="both"/>
        <w:rPr>
          <w:rFonts w:ascii="Times New Roman" w:hAnsi="Times New Roman" w:cs="Times New Roman"/>
          <w:noProof/>
          <w:sz w:val="24"/>
          <w:szCs w:val="24"/>
        </w:rPr>
      </w:pPr>
    </w:p>
    <w:p w:rsidR="00466E36" w:rsidRPr="003122A3" w:rsidRDefault="005C1AD1" w:rsidP="009A7911">
      <w:pPr>
        <w:pStyle w:val="Heading2"/>
        <w:ind w:firstLineChars="0" w:firstLine="0"/>
        <w:jc w:val="left"/>
        <w:rPr>
          <w:rFonts w:ascii="Times New Roman" w:hAnsi="Times New Roman" w:cs="Times New Roman"/>
          <w:sz w:val="24"/>
          <w:szCs w:val="24"/>
        </w:rPr>
      </w:pPr>
      <w:bookmarkStart w:id="49" w:name="_Toc420244987"/>
      <w:r w:rsidRPr="003122A3">
        <w:rPr>
          <w:rFonts w:ascii="Times New Roman" w:hAnsi="Times New Roman" w:cs="Times New Roman"/>
          <w:sz w:val="24"/>
          <w:szCs w:val="24"/>
        </w:rPr>
        <w:t>4.4 Traffic accidents</w:t>
      </w:r>
      <w:bookmarkEnd w:id="49"/>
    </w:p>
    <w:p w:rsidR="00433E61" w:rsidRPr="00D0296E" w:rsidRDefault="00433E61" w:rsidP="00D0296E">
      <w:pPr>
        <w:spacing w:after="0" w:line="240" w:lineRule="auto"/>
        <w:jc w:val="both"/>
        <w:rPr>
          <w:rFonts w:ascii="Times New Roman" w:hAnsi="Times New Roman" w:cs="Times New Roman"/>
          <w:noProof/>
          <w:sz w:val="24"/>
          <w:szCs w:val="24"/>
          <w:rtl/>
        </w:rPr>
      </w:pPr>
    </w:p>
    <w:p w:rsidR="005C1AD1" w:rsidRDefault="005C1AD1"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2009 the Ministry of Health implemented a program to monitor traffic accidents in the West Bank which introduced measures to reduce the incidence of traffic accidents and related injuries. These included fines for speeding, using a mobile phone while driving or not wearing a seat belt, fixing maximum speed limits in some areas, putting speed bumps on some roads, especially in front of schools, making adjustments to infrastructure to raise awareness about public safety on roads, and introducing vehicle inspection for licensing and insuring vehicles. An increase in reported traffic accidents may therefore be attributed to improved reporting and documentation in both governmental and non-governmental sectors. During the period May - December 2009, there was a total of 3,903 accident-related injuries. The highest number of injuries occurred in Nablus, Ramallah, Jerusalem and Hebron within the 5-17 age group.</w:t>
      </w:r>
    </w:p>
    <w:p w:rsidR="00D0296E" w:rsidRPr="003122A3" w:rsidRDefault="00D0296E" w:rsidP="00D0296E">
      <w:pPr>
        <w:spacing w:after="0" w:line="240" w:lineRule="auto"/>
        <w:jc w:val="both"/>
        <w:rPr>
          <w:rFonts w:ascii="Times New Roman" w:hAnsi="Times New Roman" w:cs="Times New Roman"/>
          <w:sz w:val="24"/>
          <w:szCs w:val="24"/>
        </w:rPr>
      </w:pPr>
    </w:p>
    <w:p w:rsidR="005C1AD1" w:rsidRDefault="005C1AD1"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2010, there were 7,412 registered traffic accidents; 19.5% of the cases involved children under five years. There were 41 deaths. Most of the accidents involved males in the governorates of Ramallah and Nablus. No disabilities resulting from traffic accidents were reported in that year.</w:t>
      </w:r>
    </w:p>
    <w:p w:rsidR="00D0296E" w:rsidRPr="003122A3" w:rsidRDefault="00D0296E" w:rsidP="00D0296E">
      <w:pPr>
        <w:spacing w:after="0" w:line="240" w:lineRule="auto"/>
        <w:jc w:val="both"/>
        <w:rPr>
          <w:rFonts w:ascii="Times New Roman" w:hAnsi="Times New Roman" w:cs="Times New Roman"/>
          <w:sz w:val="24"/>
          <w:szCs w:val="24"/>
        </w:rPr>
      </w:pPr>
    </w:p>
    <w:p w:rsidR="005C1AD1" w:rsidRPr="003122A3" w:rsidRDefault="005C1AD1"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In 2011, there were 106 deaths due to traffic accidents and the death rate due to traffic accidents in the 0-4 age group was 6 per 100,000 people and 3.2 per 100,000 people among children in the 5-14 age group. There were 8,132 injuries, 74 resulting in a mobility-related disability; 71 of these occurred in Ramallah, Nablus, </w:t>
      </w:r>
      <w:proofErr w:type="spellStart"/>
      <w:r w:rsidRPr="003122A3">
        <w:rPr>
          <w:rFonts w:ascii="Times New Roman" w:hAnsi="Times New Roman" w:cs="Times New Roman"/>
          <w:sz w:val="24"/>
          <w:szCs w:val="24"/>
        </w:rPr>
        <w:t>Jenin</w:t>
      </w:r>
      <w:proofErr w:type="spellEnd"/>
      <w:r w:rsidRPr="003122A3">
        <w:rPr>
          <w:rFonts w:ascii="Times New Roman" w:hAnsi="Times New Roman" w:cs="Times New Roman"/>
          <w:sz w:val="24"/>
          <w:szCs w:val="24"/>
        </w:rPr>
        <w:t xml:space="preserve"> and Hebron. At least 20 cases of disability involved children and the highest percentage of severe and medium injuries were among children under one year of age.</w:t>
      </w:r>
      <w:r w:rsidRPr="00140B2A">
        <w:rPr>
          <w:vertAlign w:val="superscript"/>
        </w:rPr>
        <w:footnoteReference w:id="28"/>
      </w:r>
    </w:p>
    <w:p w:rsidR="005C1AD1" w:rsidRDefault="005C1AD1" w:rsidP="00324185">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2012, about 9,</w:t>
      </w:r>
      <w:r w:rsidR="00324185">
        <w:rPr>
          <w:rFonts w:ascii="Times New Roman" w:hAnsi="Times New Roman" w:cs="Times New Roman"/>
          <w:sz w:val="24"/>
          <w:szCs w:val="24"/>
        </w:rPr>
        <w:t>203</w:t>
      </w:r>
      <w:r w:rsidRPr="003122A3">
        <w:rPr>
          <w:rFonts w:ascii="Times New Roman" w:hAnsi="Times New Roman" w:cs="Times New Roman"/>
          <w:sz w:val="24"/>
          <w:szCs w:val="24"/>
        </w:rPr>
        <w:t xml:space="preserve"> injuries resulted from accidents, with the highest number occurring in Ramallah, Nablus and Hebron. These accidents resulted in 112 deaths (with at least 31 children died). In the West Bank, 1,661 children in the 0-14 age group were injured as a result of traffic  accidents, representing 18.</w:t>
      </w:r>
      <w:r w:rsidR="00045821" w:rsidRPr="003122A3">
        <w:rPr>
          <w:rFonts w:ascii="Times New Roman" w:hAnsi="Times New Roman" w:cs="Times New Roman"/>
          <w:sz w:val="24"/>
          <w:szCs w:val="24"/>
        </w:rPr>
        <w:t>1</w:t>
      </w:r>
      <w:r w:rsidRPr="003122A3">
        <w:rPr>
          <w:rFonts w:ascii="Times New Roman" w:hAnsi="Times New Roman" w:cs="Times New Roman"/>
          <w:sz w:val="24"/>
          <w:szCs w:val="24"/>
        </w:rPr>
        <w:t>% of total casualties from traffic accidents that year. Twenty-two children were left with disabilities: 19 involved physical/ motor impairment and another visual impairment.</w:t>
      </w:r>
      <w:r w:rsidRPr="003122A3">
        <w:rPr>
          <w:rStyle w:val="FootnoteReference"/>
          <w:rFonts w:ascii="Times New Roman" w:hAnsi="Times New Roman" w:cs="Times New Roman"/>
          <w:sz w:val="24"/>
          <w:szCs w:val="24"/>
        </w:rPr>
        <w:footnoteReference w:id="29"/>
      </w:r>
    </w:p>
    <w:p w:rsidR="00D0296E" w:rsidRPr="003122A3" w:rsidRDefault="00D0296E" w:rsidP="00D0296E">
      <w:pPr>
        <w:spacing w:after="0" w:line="240" w:lineRule="auto"/>
        <w:jc w:val="both"/>
        <w:rPr>
          <w:rFonts w:ascii="Times New Roman" w:hAnsi="Times New Roman" w:cs="Times New Roman"/>
          <w:sz w:val="24"/>
          <w:szCs w:val="24"/>
        </w:rPr>
      </w:pPr>
    </w:p>
    <w:p w:rsidR="005C1AD1" w:rsidRDefault="005C1AD1"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2013, there were 8,069 registered traffic accidents causing 7,936 injuries and 133 deaths. Most accidents involved males who accounted for 74.1% of total registered traffic accidents.</w:t>
      </w:r>
    </w:p>
    <w:p w:rsidR="00D0296E" w:rsidRPr="003122A3" w:rsidRDefault="00D0296E" w:rsidP="00D0296E">
      <w:pPr>
        <w:spacing w:after="0" w:line="240" w:lineRule="auto"/>
        <w:jc w:val="both"/>
        <w:rPr>
          <w:rFonts w:ascii="Times New Roman" w:hAnsi="Times New Roman" w:cs="Times New Roman"/>
          <w:sz w:val="24"/>
          <w:szCs w:val="24"/>
        </w:rPr>
      </w:pPr>
    </w:p>
    <w:p w:rsidR="00002871" w:rsidRDefault="005C1AD1"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It should be </w:t>
      </w:r>
      <w:proofErr w:type="spellStart"/>
      <w:r w:rsidRPr="003122A3">
        <w:rPr>
          <w:rFonts w:ascii="Times New Roman" w:hAnsi="Times New Roman" w:cs="Times New Roman"/>
          <w:sz w:val="24"/>
          <w:szCs w:val="24"/>
        </w:rPr>
        <w:t>noedthat</w:t>
      </w:r>
      <w:proofErr w:type="spellEnd"/>
      <w:r w:rsidRPr="003122A3">
        <w:rPr>
          <w:rFonts w:ascii="Times New Roman" w:hAnsi="Times New Roman" w:cs="Times New Roman"/>
          <w:sz w:val="24"/>
          <w:szCs w:val="24"/>
        </w:rPr>
        <w:t xml:space="preserve"> the areas where the highest number of injuries occurred are not necessarily the areas </w:t>
      </w:r>
      <w:proofErr w:type="spellStart"/>
      <w:r w:rsidRPr="003122A3">
        <w:rPr>
          <w:rFonts w:ascii="Times New Roman" w:hAnsi="Times New Roman" w:cs="Times New Roman"/>
          <w:sz w:val="24"/>
          <w:szCs w:val="24"/>
        </w:rPr>
        <w:t>wehre</w:t>
      </w:r>
      <w:proofErr w:type="spellEnd"/>
      <w:r w:rsidRPr="003122A3">
        <w:rPr>
          <w:rFonts w:ascii="Times New Roman" w:hAnsi="Times New Roman" w:cs="Times New Roman"/>
          <w:sz w:val="24"/>
          <w:szCs w:val="24"/>
        </w:rPr>
        <w:t xml:space="preserve"> the most severe injuries occurred. For example, the highest severe injuries rate was in Hebron, Ramallah,</w:t>
      </w:r>
      <w:r w:rsidR="00C91842">
        <w:rPr>
          <w:rFonts w:ascii="Times New Roman" w:hAnsi="Times New Roman" w:cs="Times New Roman"/>
          <w:sz w:val="24"/>
          <w:szCs w:val="24"/>
        </w:rPr>
        <w:t xml:space="preserve"> and</w:t>
      </w:r>
      <w:r w:rsidR="00045821" w:rsidRPr="003122A3">
        <w:rPr>
          <w:rFonts w:ascii="Times New Roman" w:hAnsi="Times New Roman" w:cs="Times New Roman"/>
          <w:sz w:val="24"/>
          <w:szCs w:val="24"/>
        </w:rPr>
        <w:t xml:space="preserve"> Al-</w:t>
      </w:r>
      <w:proofErr w:type="spellStart"/>
      <w:r w:rsidR="00045821" w:rsidRPr="003122A3">
        <w:rPr>
          <w:rFonts w:ascii="Times New Roman" w:hAnsi="Times New Roman" w:cs="Times New Roman"/>
          <w:sz w:val="24"/>
          <w:szCs w:val="24"/>
        </w:rPr>
        <w:t>Bireh</w:t>
      </w:r>
      <w:proofErr w:type="spellEnd"/>
      <w:r w:rsidRPr="003122A3">
        <w:rPr>
          <w:rFonts w:ascii="Times New Roman" w:hAnsi="Times New Roman" w:cs="Times New Roman"/>
          <w:sz w:val="24"/>
          <w:szCs w:val="24"/>
        </w:rPr>
        <w:t xml:space="preserve"> and</w:t>
      </w:r>
      <w:r w:rsidR="00045821" w:rsidRPr="003122A3">
        <w:rPr>
          <w:rFonts w:ascii="Times New Roman" w:hAnsi="Times New Roman" w:cs="Times New Roman"/>
          <w:color w:val="000000"/>
          <w:sz w:val="16"/>
          <w:szCs w:val="16"/>
        </w:rPr>
        <w:t xml:space="preserve"> </w:t>
      </w:r>
      <w:proofErr w:type="spellStart"/>
      <w:r w:rsidRPr="003122A3">
        <w:rPr>
          <w:rFonts w:ascii="Times New Roman" w:hAnsi="Times New Roman" w:cs="Times New Roman"/>
          <w:sz w:val="24"/>
          <w:szCs w:val="24"/>
        </w:rPr>
        <w:t>Tulkarm</w:t>
      </w:r>
      <w:proofErr w:type="spellEnd"/>
      <w:r w:rsidR="004F59C3" w:rsidRPr="003122A3">
        <w:rPr>
          <w:rFonts w:ascii="Times New Roman" w:hAnsi="Times New Roman" w:cs="Times New Roman"/>
          <w:sz w:val="24"/>
          <w:szCs w:val="24"/>
          <w:rtl/>
        </w:rPr>
        <w:t>.</w:t>
      </w:r>
    </w:p>
    <w:p w:rsidR="00D0296E" w:rsidRPr="003122A3" w:rsidRDefault="00D0296E" w:rsidP="00D0296E">
      <w:pPr>
        <w:spacing w:after="0" w:line="240" w:lineRule="auto"/>
        <w:jc w:val="both"/>
        <w:rPr>
          <w:rFonts w:ascii="Times New Roman" w:hAnsi="Times New Roman" w:cs="Times New Roman"/>
          <w:sz w:val="24"/>
          <w:szCs w:val="24"/>
          <w:rtl/>
        </w:rPr>
      </w:pPr>
    </w:p>
    <w:p w:rsidR="005C1AD1" w:rsidRDefault="005C1AD1" w:rsidP="00D0296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It is important that the site of an accident, such as city or village, be noted. The volume of traffic in Ramallah and </w:t>
      </w:r>
      <w:r w:rsidR="00045821" w:rsidRPr="003122A3">
        <w:rPr>
          <w:rFonts w:ascii="Times New Roman" w:hAnsi="Times New Roman" w:cs="Times New Roman"/>
          <w:sz w:val="24"/>
          <w:szCs w:val="24"/>
        </w:rPr>
        <w:t>Al-</w:t>
      </w:r>
      <w:proofErr w:type="spellStart"/>
      <w:r w:rsidR="00045821" w:rsidRPr="003122A3">
        <w:rPr>
          <w:rFonts w:ascii="Times New Roman" w:hAnsi="Times New Roman" w:cs="Times New Roman"/>
          <w:sz w:val="24"/>
          <w:szCs w:val="24"/>
        </w:rPr>
        <w:t>Bireh</w:t>
      </w:r>
      <w:proofErr w:type="spellEnd"/>
      <w:r w:rsidRPr="003122A3">
        <w:rPr>
          <w:rFonts w:ascii="Times New Roman" w:hAnsi="Times New Roman" w:cs="Times New Roman"/>
          <w:sz w:val="24"/>
          <w:szCs w:val="24"/>
        </w:rPr>
        <w:t>, the demographic hub, currently exceeds its capacity. The economic situation of its residents is relatively better than other cities with many families having more than one car. Causes of accident must also be defined, being excess of speed, inadequate infrastructure, lack of periodic car maintenance or non-</w:t>
      </w:r>
      <w:proofErr w:type="spellStart"/>
      <w:r w:rsidRPr="003122A3">
        <w:rPr>
          <w:rFonts w:ascii="Times New Roman" w:hAnsi="Times New Roman" w:cs="Times New Roman"/>
          <w:sz w:val="24"/>
          <w:szCs w:val="24"/>
        </w:rPr>
        <w:t>com;liance</w:t>
      </w:r>
      <w:proofErr w:type="spellEnd"/>
      <w:r w:rsidRPr="003122A3">
        <w:rPr>
          <w:rFonts w:ascii="Times New Roman" w:hAnsi="Times New Roman" w:cs="Times New Roman"/>
          <w:sz w:val="24"/>
          <w:szCs w:val="24"/>
        </w:rPr>
        <w:t xml:space="preserve"> with traffic rules by pedestrians or drivers, including wearing a seatbelt.</w:t>
      </w:r>
    </w:p>
    <w:p w:rsidR="00D0296E" w:rsidRPr="003122A3" w:rsidRDefault="00D0296E" w:rsidP="00D0296E">
      <w:pPr>
        <w:spacing w:after="0" w:line="240" w:lineRule="auto"/>
        <w:jc w:val="both"/>
        <w:rPr>
          <w:rFonts w:ascii="Times New Roman" w:hAnsi="Times New Roman" w:cs="Times New Roman"/>
          <w:sz w:val="24"/>
          <w:szCs w:val="24"/>
          <w:rtl/>
        </w:rPr>
      </w:pPr>
    </w:p>
    <w:p w:rsidR="005C1AD1" w:rsidRPr="003122A3" w:rsidRDefault="003478BC" w:rsidP="00433E61">
      <w:pPr>
        <w:keepNext/>
        <w:jc w:val="center"/>
        <w:rPr>
          <w:rFonts w:ascii="Times New Roman" w:hAnsi="Times New Roman" w:cs="Times New Roman"/>
          <w:b/>
          <w:bCs/>
        </w:rPr>
      </w:pPr>
      <w:bookmarkStart w:id="50" w:name="_Toc420268231"/>
      <w:r w:rsidRPr="003122A3">
        <w:rPr>
          <w:rFonts w:ascii="Times New Roman" w:hAnsi="Times New Roman" w:cs="Times New Roman"/>
          <w:b/>
          <w:bCs/>
          <w:szCs w:val="24"/>
        </w:rPr>
        <w:t xml:space="preserve">Figure </w:t>
      </w:r>
      <w:r w:rsidR="008F57C8" w:rsidRPr="003122A3">
        <w:rPr>
          <w:rFonts w:ascii="Times New Roman" w:hAnsi="Times New Roman" w:cs="Times New Roman"/>
          <w:b/>
          <w:bCs/>
          <w:szCs w:val="24"/>
        </w:rPr>
        <w:fldChar w:fldCharType="begin"/>
      </w:r>
      <w:r w:rsidRPr="003122A3">
        <w:rPr>
          <w:rFonts w:ascii="Times New Roman" w:hAnsi="Times New Roman" w:cs="Times New Roman"/>
          <w:b/>
          <w:bCs/>
          <w:szCs w:val="24"/>
        </w:rPr>
        <w:instrText xml:space="preserve"> SEQ Figure \* ARABIC </w:instrText>
      </w:r>
      <w:r w:rsidR="008F57C8" w:rsidRPr="003122A3">
        <w:rPr>
          <w:rFonts w:ascii="Times New Roman" w:hAnsi="Times New Roman" w:cs="Times New Roman"/>
          <w:b/>
          <w:bCs/>
          <w:szCs w:val="24"/>
        </w:rPr>
        <w:fldChar w:fldCharType="separate"/>
      </w:r>
      <w:r w:rsidR="001626F1">
        <w:rPr>
          <w:rFonts w:ascii="Times New Roman" w:hAnsi="Times New Roman" w:cs="Times New Roman"/>
          <w:b/>
          <w:bCs/>
          <w:noProof/>
          <w:szCs w:val="24"/>
        </w:rPr>
        <w:t>17</w:t>
      </w:r>
      <w:r w:rsidR="008F57C8" w:rsidRPr="003122A3">
        <w:rPr>
          <w:rFonts w:ascii="Times New Roman" w:hAnsi="Times New Roman" w:cs="Times New Roman"/>
          <w:b/>
          <w:bCs/>
          <w:szCs w:val="24"/>
        </w:rPr>
        <w:fldChar w:fldCharType="end"/>
      </w:r>
      <w:r w:rsidRPr="003122A3">
        <w:rPr>
          <w:rFonts w:ascii="Times New Roman" w:hAnsi="Times New Roman" w:cs="Times New Roman"/>
          <w:b/>
          <w:bCs/>
          <w:szCs w:val="24"/>
        </w:rPr>
        <w:t>: Number of Injuries in Reported Accidents in West Bank by Year</w:t>
      </w:r>
      <w:bookmarkEnd w:id="50"/>
    </w:p>
    <w:p w:rsidR="00466E36" w:rsidRPr="003122A3" w:rsidRDefault="00332C4B" w:rsidP="00D2533C">
      <w:pPr>
        <w:jc w:val="center"/>
        <w:rPr>
          <w:rFonts w:ascii="Times New Roman" w:hAnsi="Times New Roman" w:cs="Times New Roman"/>
          <w:sz w:val="24"/>
          <w:szCs w:val="24"/>
          <w:rtl/>
        </w:rPr>
      </w:pPr>
      <w:r w:rsidRPr="003122A3">
        <w:rPr>
          <w:rFonts w:ascii="Times New Roman" w:hAnsi="Times New Roman" w:cs="Times New Roman"/>
          <w:noProof/>
          <w:sz w:val="24"/>
          <w:szCs w:val="24"/>
          <w:rtl/>
        </w:rPr>
        <w:drawing>
          <wp:inline distT="0" distB="0" distL="0" distR="0">
            <wp:extent cx="5486400" cy="1828800"/>
            <wp:effectExtent l="19050" t="0" r="1905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5C1AD1" w:rsidRPr="003122A3" w:rsidRDefault="00D2533C" w:rsidP="008E657F">
      <w:pPr>
        <w:jc w:val="both"/>
        <w:rPr>
          <w:rFonts w:ascii="Times New Roman" w:hAnsi="Times New Roman" w:cs="Times New Roman"/>
          <w:sz w:val="18"/>
          <w:szCs w:val="18"/>
        </w:rPr>
      </w:pPr>
      <w:r w:rsidRPr="003122A3">
        <w:rPr>
          <w:rFonts w:ascii="Times New Roman" w:hAnsi="Times New Roman" w:cs="Times New Roman"/>
          <w:sz w:val="18"/>
          <w:szCs w:val="18"/>
        </w:rPr>
        <w:t xml:space="preserve">      </w:t>
      </w:r>
      <w:r w:rsidR="00E343D3" w:rsidRPr="003122A3">
        <w:rPr>
          <w:rFonts w:ascii="Times New Roman" w:hAnsi="Times New Roman" w:cs="Times New Roman"/>
          <w:sz w:val="18"/>
          <w:szCs w:val="18"/>
        </w:rPr>
        <w:t xml:space="preserve">     </w:t>
      </w:r>
      <w:r w:rsidR="00935378" w:rsidRPr="003122A3">
        <w:rPr>
          <w:rFonts w:ascii="Times New Roman" w:hAnsi="Times New Roman" w:cs="Times New Roman"/>
          <w:sz w:val="18"/>
          <w:szCs w:val="18"/>
        </w:rPr>
        <w:t xml:space="preserve">  </w:t>
      </w:r>
      <w:r w:rsidR="005C1AD1" w:rsidRPr="003122A3">
        <w:rPr>
          <w:rFonts w:ascii="Times New Roman" w:hAnsi="Times New Roman" w:cs="Times New Roman"/>
          <w:sz w:val="18"/>
          <w:szCs w:val="18"/>
        </w:rPr>
        <w:t>Source: Ministry of Health, annual reports of 2009, 2010, 2011, 2013</w:t>
      </w:r>
    </w:p>
    <w:p w:rsidR="00466E36" w:rsidRPr="003122A3" w:rsidRDefault="00B835A1" w:rsidP="009A7911">
      <w:pPr>
        <w:pStyle w:val="Heading2"/>
        <w:ind w:firstLineChars="0" w:firstLine="0"/>
        <w:jc w:val="left"/>
        <w:rPr>
          <w:rFonts w:ascii="Times New Roman" w:hAnsi="Times New Roman" w:cs="Times New Roman"/>
          <w:sz w:val="24"/>
          <w:szCs w:val="24"/>
        </w:rPr>
      </w:pPr>
      <w:bookmarkStart w:id="51" w:name="_Toc420244988"/>
      <w:r w:rsidRPr="003122A3">
        <w:rPr>
          <w:rFonts w:ascii="Times New Roman" w:hAnsi="Times New Roman" w:cs="Times New Roman"/>
          <w:sz w:val="24"/>
          <w:szCs w:val="24"/>
        </w:rPr>
        <w:t>4.5 Immunization against Infectious Diseases</w:t>
      </w:r>
      <w:bookmarkEnd w:id="51"/>
    </w:p>
    <w:p w:rsidR="00433E61" w:rsidRPr="00D0296E" w:rsidRDefault="00433E61" w:rsidP="00D0296E">
      <w:pPr>
        <w:spacing w:after="0" w:line="240" w:lineRule="auto"/>
        <w:jc w:val="both"/>
        <w:rPr>
          <w:rFonts w:ascii="Times New Roman" w:hAnsi="Times New Roman" w:cs="Times New Roman"/>
          <w:sz w:val="24"/>
          <w:szCs w:val="24"/>
          <w:rtl/>
        </w:rPr>
      </w:pPr>
    </w:p>
    <w:p w:rsidR="00B835A1" w:rsidRDefault="00B835A1" w:rsidP="004B177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Palestine is listed among advanced countries in terms of basic vaccination coverage with over 95.0% of children aging 24–35 months receiving full vaccination at any time against many of the preventable childhood diseases (94.2% in the West Bank and 95.6% </w:t>
      </w:r>
      <w:r w:rsidR="00A91E3A">
        <w:rPr>
          <w:rFonts w:ascii="Times New Roman" w:hAnsi="Times New Roman" w:cs="Times New Roman"/>
          <w:sz w:val="24"/>
          <w:szCs w:val="24"/>
        </w:rPr>
        <w:t>in Gaza Strip</w:t>
      </w:r>
      <w:r w:rsidRPr="003122A3">
        <w:rPr>
          <w:rFonts w:ascii="Times New Roman" w:hAnsi="Times New Roman" w:cs="Times New Roman"/>
          <w:sz w:val="24"/>
          <w:szCs w:val="24"/>
        </w:rPr>
        <w:t>).</w:t>
      </w:r>
      <w:r w:rsidRPr="003122A3">
        <w:rPr>
          <w:rStyle w:val="FootnoteReference"/>
          <w:rFonts w:ascii="Times New Roman" w:hAnsi="Times New Roman" w:cs="Times New Roman"/>
          <w:sz w:val="24"/>
          <w:szCs w:val="24"/>
          <w:rtl/>
        </w:rPr>
        <w:t xml:space="preserve"> </w:t>
      </w:r>
      <w:r w:rsidRPr="003122A3">
        <w:rPr>
          <w:rStyle w:val="FootnoteReference"/>
          <w:rFonts w:ascii="Times New Roman" w:hAnsi="Times New Roman" w:cs="Times New Roman"/>
          <w:sz w:val="24"/>
          <w:szCs w:val="24"/>
          <w:rtl/>
        </w:rPr>
        <w:footnoteReference w:id="30"/>
      </w:r>
      <w:r w:rsidRPr="003122A3">
        <w:rPr>
          <w:rFonts w:ascii="Times New Roman" w:hAnsi="Times New Roman" w:cs="Times New Roman"/>
          <w:sz w:val="24"/>
          <w:szCs w:val="24"/>
        </w:rPr>
        <w:t xml:space="preserve">This high vaccination rate contributed to the elimination of many infectious diseases. Available data, however, do not specify the </w:t>
      </w:r>
      <w:proofErr w:type="spellStart"/>
      <w:r w:rsidRPr="003122A3">
        <w:rPr>
          <w:rFonts w:ascii="Times New Roman" w:hAnsi="Times New Roman" w:cs="Times New Roman"/>
          <w:sz w:val="24"/>
          <w:szCs w:val="24"/>
        </w:rPr>
        <w:t>indicence</w:t>
      </w:r>
      <w:proofErr w:type="spellEnd"/>
      <w:r w:rsidRPr="003122A3">
        <w:rPr>
          <w:rFonts w:ascii="Times New Roman" w:hAnsi="Times New Roman" w:cs="Times New Roman"/>
          <w:sz w:val="24"/>
          <w:szCs w:val="24"/>
        </w:rPr>
        <w:t xml:space="preserve"> of infectious disease among the population in general and children in particular.</w:t>
      </w:r>
    </w:p>
    <w:p w:rsidR="00D0296E" w:rsidRPr="003122A3" w:rsidRDefault="00D0296E" w:rsidP="00D0296E">
      <w:pPr>
        <w:spacing w:after="0" w:line="240" w:lineRule="auto"/>
        <w:jc w:val="both"/>
        <w:rPr>
          <w:rFonts w:ascii="Times New Roman" w:hAnsi="Times New Roman" w:cs="Times New Roman"/>
          <w:sz w:val="24"/>
          <w:szCs w:val="24"/>
          <w:rtl/>
        </w:rPr>
      </w:pPr>
    </w:p>
    <w:p w:rsidR="00B835A1" w:rsidRDefault="00B835A1" w:rsidP="009B1E63">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last case of polio was reported in 1988, and one case of measles was reported in Jerusalem in 2010. No cases were reported in 2013. The Ministry of Health vaccinates children with two doses at the age of 12 months and 18 months. Pregnant women attending government clinics are vaccinated against tetanus. </w:t>
      </w:r>
      <w:r w:rsidR="00311DD2" w:rsidRPr="003122A3">
        <w:rPr>
          <w:rFonts w:ascii="Times New Roman" w:hAnsi="Times New Roman" w:cs="Times New Roman"/>
          <w:sz w:val="24"/>
          <w:szCs w:val="24"/>
        </w:rPr>
        <w:t xml:space="preserve">No case of tetanus among the newborns was </w:t>
      </w:r>
      <w:proofErr w:type="spellStart"/>
      <w:r w:rsidR="00311DD2" w:rsidRPr="003122A3">
        <w:rPr>
          <w:rFonts w:ascii="Times New Roman" w:hAnsi="Times New Roman" w:cs="Times New Roman"/>
          <w:sz w:val="24"/>
          <w:szCs w:val="24"/>
        </w:rPr>
        <w:t>reprted</w:t>
      </w:r>
      <w:proofErr w:type="spellEnd"/>
      <w:r w:rsidR="00311DD2" w:rsidRPr="003122A3">
        <w:rPr>
          <w:rFonts w:ascii="Times New Roman" w:hAnsi="Times New Roman" w:cs="Times New Roman"/>
          <w:sz w:val="24"/>
          <w:szCs w:val="24"/>
        </w:rPr>
        <w:t xml:space="preserve"> in previous years, except one case in southern Hebron in 2009 and another in Ramallah in 2011. No tetanus cases were reported in 2013. There was a rise in the reported cases of mumps (reported cases of mumps in Palestine attained 1,931 including 40 in the West Bank and 1,891 in Gaza Strip).</w:t>
      </w:r>
      <w:r w:rsidR="00311DD2" w:rsidRPr="003122A3">
        <w:rPr>
          <w:rStyle w:val="FootnoteReference"/>
          <w:rFonts w:ascii="Times New Roman" w:hAnsi="Times New Roman" w:cs="Times New Roman"/>
          <w:sz w:val="24"/>
          <w:szCs w:val="24"/>
          <w:rtl/>
        </w:rPr>
        <w:t xml:space="preserve"> </w:t>
      </w:r>
      <w:r w:rsidR="00311DD2" w:rsidRPr="003122A3">
        <w:rPr>
          <w:rStyle w:val="FootnoteReference"/>
          <w:rFonts w:ascii="Times New Roman" w:hAnsi="Times New Roman" w:cs="Times New Roman"/>
          <w:sz w:val="24"/>
          <w:szCs w:val="24"/>
          <w:rtl/>
        </w:rPr>
        <w:footnoteReference w:id="31"/>
      </w:r>
    </w:p>
    <w:p w:rsidR="00D0296E" w:rsidRPr="003122A3" w:rsidRDefault="00D0296E" w:rsidP="00D0296E">
      <w:pPr>
        <w:spacing w:after="0" w:line="240" w:lineRule="auto"/>
        <w:jc w:val="both"/>
        <w:rPr>
          <w:rFonts w:ascii="Times New Roman" w:hAnsi="Times New Roman" w:cs="Times New Roman"/>
          <w:sz w:val="24"/>
          <w:szCs w:val="24"/>
          <w:rtl/>
        </w:rPr>
      </w:pPr>
    </w:p>
    <w:p w:rsidR="00466E36" w:rsidRPr="003122A3" w:rsidRDefault="00424122" w:rsidP="009A7911">
      <w:pPr>
        <w:pStyle w:val="Heading2"/>
        <w:ind w:firstLineChars="0" w:firstLine="0"/>
        <w:jc w:val="left"/>
        <w:rPr>
          <w:rFonts w:ascii="Times New Roman" w:hAnsi="Times New Roman" w:cs="Times New Roman"/>
          <w:sz w:val="24"/>
          <w:szCs w:val="24"/>
        </w:rPr>
      </w:pPr>
      <w:bookmarkStart w:id="52" w:name="_Toc420244989"/>
      <w:r w:rsidRPr="003122A3">
        <w:rPr>
          <w:rFonts w:ascii="Times New Roman" w:hAnsi="Times New Roman" w:cs="Times New Roman"/>
          <w:sz w:val="24"/>
          <w:szCs w:val="24"/>
        </w:rPr>
        <w:t>4.6 Nutritional Indicators</w:t>
      </w:r>
      <w:bookmarkEnd w:id="52"/>
    </w:p>
    <w:p w:rsidR="00433E61" w:rsidRPr="00D0296E" w:rsidRDefault="00433E61" w:rsidP="00D0296E">
      <w:pPr>
        <w:spacing w:after="0" w:line="240" w:lineRule="auto"/>
        <w:jc w:val="both"/>
        <w:rPr>
          <w:rFonts w:ascii="Times New Roman" w:hAnsi="Times New Roman" w:cs="Times New Roman"/>
          <w:sz w:val="24"/>
          <w:szCs w:val="24"/>
        </w:rPr>
      </w:pPr>
    </w:p>
    <w:p w:rsidR="00424122" w:rsidRDefault="00424122" w:rsidP="00D0296E">
      <w:pPr>
        <w:spacing w:after="0" w:line="240" w:lineRule="auto"/>
        <w:jc w:val="both"/>
        <w:rPr>
          <w:rFonts w:ascii="Times New Roman" w:hAnsi="Times New Roman" w:cs="Times New Roman"/>
          <w:sz w:val="24"/>
          <w:szCs w:val="24"/>
        </w:rPr>
      </w:pPr>
      <w:r w:rsidRPr="003122A3">
        <w:rPr>
          <w:rStyle w:val="hps"/>
          <w:rFonts w:ascii="Times New Roman" w:hAnsi="Times New Roman" w:cs="Times New Roman"/>
          <w:sz w:val="24"/>
          <w:szCs w:val="24"/>
        </w:rPr>
        <w:t xml:space="preserve">The right to adequate </w:t>
      </w:r>
      <w:proofErr w:type="spellStart"/>
      <w:r w:rsidRPr="003122A3">
        <w:rPr>
          <w:rStyle w:val="hps"/>
          <w:rFonts w:ascii="Times New Roman" w:hAnsi="Times New Roman" w:cs="Times New Roman"/>
          <w:sz w:val="24"/>
          <w:szCs w:val="24"/>
        </w:rPr>
        <w:t>quantitites</w:t>
      </w:r>
      <w:proofErr w:type="spellEnd"/>
      <w:r w:rsidRPr="003122A3">
        <w:rPr>
          <w:rStyle w:val="hps"/>
          <w:rFonts w:ascii="Times New Roman" w:hAnsi="Times New Roman" w:cs="Times New Roman"/>
          <w:sz w:val="24"/>
          <w:szCs w:val="24"/>
        </w:rPr>
        <w:t xml:space="preserve"> and qualities of food is one of the basic rights of a child. Studies point to the importance of adequate </w:t>
      </w:r>
      <w:proofErr w:type="spellStart"/>
      <w:r w:rsidRPr="003122A3">
        <w:rPr>
          <w:rStyle w:val="hps"/>
          <w:rFonts w:ascii="Times New Roman" w:hAnsi="Times New Roman" w:cs="Times New Roman"/>
          <w:sz w:val="24"/>
          <w:szCs w:val="24"/>
        </w:rPr>
        <w:t>nutiriton</w:t>
      </w:r>
      <w:proofErr w:type="spellEnd"/>
      <w:r w:rsidRPr="003122A3">
        <w:rPr>
          <w:rStyle w:val="hps"/>
          <w:rFonts w:ascii="Times New Roman" w:hAnsi="Times New Roman" w:cs="Times New Roman"/>
          <w:sz w:val="24"/>
          <w:szCs w:val="24"/>
        </w:rPr>
        <w:t xml:space="preserve"> for both baby and mother during pregnancy and to the importance of providing mothers with vitamins and supplements. Breastfeeding exclusively during the first six months of a child’s life enhances an infant’s immunity against disease. On the other hand, there is direct </w:t>
      </w:r>
      <w:proofErr w:type="spellStart"/>
      <w:r w:rsidRPr="003122A3">
        <w:rPr>
          <w:rStyle w:val="hps"/>
          <w:rFonts w:ascii="Times New Roman" w:hAnsi="Times New Roman" w:cs="Times New Roman"/>
          <w:sz w:val="24"/>
          <w:szCs w:val="24"/>
        </w:rPr>
        <w:t>cooreation</w:t>
      </w:r>
      <w:proofErr w:type="spellEnd"/>
      <w:r w:rsidRPr="003122A3">
        <w:rPr>
          <w:rStyle w:val="hps"/>
          <w:rFonts w:ascii="Times New Roman" w:hAnsi="Times New Roman" w:cs="Times New Roman"/>
          <w:sz w:val="24"/>
          <w:szCs w:val="24"/>
        </w:rPr>
        <w:t xml:space="preserve"> between Vitamin A deficiency, stunting, related growth, night blindness and increase in deaths when the body becomes susceptible to infections. Anemia due to iron deficiency may lead to increased rates of maternal and infant mortality, the chance of stillbirth, low birth weight, premature delivery, and the possibility of damage to the fetal brain. To prevent Vitamin A deficiency, mothers should be educated about the benefits of breastfeeding as mother’s milk is a natural source of vitamin A and provides infants with adequate amounts of vitamin A at breastfeeding age.</w:t>
      </w:r>
      <w:r w:rsidRPr="003122A3">
        <w:rPr>
          <w:rFonts w:ascii="Times New Roman" w:hAnsi="Times New Roman" w:cs="Times New Roman"/>
          <w:sz w:val="24"/>
          <w:szCs w:val="24"/>
        </w:rPr>
        <w:t xml:space="preserve"> </w:t>
      </w:r>
      <w:r w:rsidRPr="003122A3">
        <w:rPr>
          <w:rStyle w:val="FootnoteReference"/>
          <w:rFonts w:ascii="Times New Roman" w:hAnsi="Times New Roman" w:cs="Times New Roman"/>
          <w:sz w:val="24"/>
          <w:szCs w:val="24"/>
        </w:rPr>
        <w:footnoteReference w:id="32"/>
      </w:r>
    </w:p>
    <w:p w:rsidR="00D0296E" w:rsidRPr="003122A3" w:rsidRDefault="00D0296E" w:rsidP="00D0296E">
      <w:pPr>
        <w:spacing w:after="0" w:line="240" w:lineRule="auto"/>
        <w:jc w:val="both"/>
        <w:rPr>
          <w:rStyle w:val="hps"/>
          <w:rFonts w:ascii="Times New Roman" w:hAnsi="Times New Roman" w:cs="Times New Roman"/>
          <w:sz w:val="24"/>
          <w:szCs w:val="24"/>
          <w:rtl/>
        </w:rPr>
      </w:pPr>
    </w:p>
    <w:p w:rsidR="00BB4A29" w:rsidRPr="003122A3" w:rsidRDefault="00D304D2" w:rsidP="009A7911">
      <w:pPr>
        <w:pStyle w:val="Heading2"/>
        <w:ind w:firstLineChars="0" w:firstLine="0"/>
        <w:jc w:val="left"/>
        <w:rPr>
          <w:rFonts w:ascii="Times New Roman" w:hAnsi="Times New Roman" w:cs="Times New Roman"/>
          <w:sz w:val="24"/>
          <w:szCs w:val="24"/>
        </w:rPr>
      </w:pPr>
      <w:bookmarkStart w:id="53" w:name="_Toc420244990"/>
      <w:r w:rsidRPr="003122A3">
        <w:rPr>
          <w:rFonts w:ascii="Times New Roman" w:hAnsi="Times New Roman" w:cs="Times New Roman"/>
          <w:sz w:val="24"/>
          <w:szCs w:val="24"/>
        </w:rPr>
        <w:t>4.7 Breastfeeding</w:t>
      </w:r>
      <w:bookmarkEnd w:id="53"/>
    </w:p>
    <w:p w:rsidR="00433E61" w:rsidRPr="00D0296E" w:rsidRDefault="00433E61" w:rsidP="00D0296E">
      <w:pPr>
        <w:spacing w:after="0" w:line="240" w:lineRule="auto"/>
        <w:jc w:val="both"/>
        <w:rPr>
          <w:rStyle w:val="hps"/>
          <w:sz w:val="24"/>
          <w:szCs w:val="24"/>
        </w:rPr>
      </w:pPr>
    </w:p>
    <w:p w:rsidR="00D304D2" w:rsidRDefault="00D304D2" w:rsidP="008602DB">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percentage of children below 6 months </w:t>
      </w:r>
      <w:proofErr w:type="spellStart"/>
      <w:r w:rsidRPr="003122A3">
        <w:rPr>
          <w:rFonts w:ascii="Times New Roman" w:hAnsi="Times New Roman" w:cs="Times New Roman"/>
          <w:sz w:val="24"/>
          <w:szCs w:val="24"/>
        </w:rPr>
        <w:t>whoe</w:t>
      </w:r>
      <w:proofErr w:type="spellEnd"/>
      <w:r w:rsidRPr="003122A3">
        <w:rPr>
          <w:rFonts w:ascii="Times New Roman" w:hAnsi="Times New Roman" w:cs="Times New Roman"/>
          <w:sz w:val="24"/>
          <w:szCs w:val="24"/>
        </w:rPr>
        <w:t xml:space="preserve"> were exclusively </w:t>
      </w:r>
      <w:proofErr w:type="spellStart"/>
      <w:r w:rsidRPr="003122A3">
        <w:rPr>
          <w:rFonts w:ascii="Times New Roman" w:hAnsi="Times New Roman" w:cs="Times New Roman"/>
          <w:sz w:val="24"/>
          <w:szCs w:val="24"/>
        </w:rPr>
        <w:t>breasfed</w:t>
      </w:r>
      <w:proofErr w:type="spellEnd"/>
      <w:r w:rsidRPr="003122A3">
        <w:rPr>
          <w:rFonts w:ascii="Times New Roman" w:hAnsi="Times New Roman" w:cs="Times New Roman"/>
          <w:sz w:val="24"/>
          <w:szCs w:val="24"/>
        </w:rPr>
        <w:t xml:space="preserve"> was 38.6% in 2014, while 52.9% of children (12-15 months) were continuously </w:t>
      </w:r>
      <w:proofErr w:type="spellStart"/>
      <w:r w:rsidRPr="003122A3">
        <w:rPr>
          <w:rFonts w:ascii="Times New Roman" w:hAnsi="Times New Roman" w:cs="Times New Roman"/>
          <w:sz w:val="24"/>
          <w:szCs w:val="24"/>
        </w:rPr>
        <w:t>breasfed</w:t>
      </w:r>
      <w:proofErr w:type="spellEnd"/>
      <w:r w:rsidRPr="003122A3">
        <w:rPr>
          <w:rFonts w:ascii="Times New Roman" w:hAnsi="Times New Roman" w:cs="Times New Roman"/>
          <w:sz w:val="24"/>
          <w:szCs w:val="24"/>
        </w:rPr>
        <w:t xml:space="preserve"> for one year and 11.5% of children (20-23 months) for two years. Exclusive breastfeeding for the first six months decreases with mother’s education (36.0% among mothers with secondary education and higher compared with 62.0% among uneducated women). This may be partly attributed to working mothers returning to their jobs after the 70-day maternity leave, as per Palestinian Labor Law. Although the law allows mothers to leave for one hour for breastfeeding, most mothers prefer to use this hour to leave an hour earlier from work as it may be impossible to reach their child and return to the workplace within an hour especially when children are placed in care centers which are relatively far from the mother’s workplace. Continuous breastfeeding up to </w:t>
      </w:r>
      <w:proofErr w:type="spellStart"/>
      <w:r w:rsidRPr="003122A3">
        <w:rPr>
          <w:rFonts w:ascii="Times New Roman" w:hAnsi="Times New Roman" w:cs="Times New Roman"/>
          <w:sz w:val="24"/>
          <w:szCs w:val="24"/>
        </w:rPr>
        <w:t>he</w:t>
      </w:r>
      <w:proofErr w:type="spellEnd"/>
      <w:r w:rsidRPr="003122A3">
        <w:rPr>
          <w:rFonts w:ascii="Times New Roman" w:hAnsi="Times New Roman" w:cs="Times New Roman"/>
          <w:sz w:val="24"/>
          <w:szCs w:val="24"/>
        </w:rPr>
        <w:t xml:space="preserve"> age of one year is frequent in rural areas (55</w:t>
      </w:r>
      <w:r w:rsidR="00003D31">
        <w:rPr>
          <w:rFonts w:ascii="Times New Roman" w:hAnsi="Times New Roman" w:cs="Times New Roman"/>
          <w:sz w:val="24"/>
          <w:szCs w:val="24"/>
        </w:rPr>
        <w:t>.0</w:t>
      </w:r>
      <w:r w:rsidRPr="003122A3">
        <w:rPr>
          <w:rFonts w:ascii="Times New Roman" w:hAnsi="Times New Roman" w:cs="Times New Roman"/>
          <w:sz w:val="24"/>
          <w:szCs w:val="24"/>
        </w:rPr>
        <w:t>%) and among the poorest mothers (65.1%), for male children more than female children. This is a clear indication of high level of awareness among marginalized groups about the importance of breastfeeding</w:t>
      </w:r>
      <w:r w:rsidRPr="003122A3">
        <w:rPr>
          <w:rStyle w:val="FootnoteReference"/>
          <w:rFonts w:ascii="Times New Roman" w:hAnsi="Times New Roman" w:cs="Times New Roman"/>
          <w:sz w:val="24"/>
          <w:szCs w:val="24"/>
          <w:rtl/>
        </w:rPr>
        <w:footnoteReference w:id="33"/>
      </w:r>
      <w:r w:rsidRPr="003122A3">
        <w:rPr>
          <w:rFonts w:ascii="Times New Roman" w:hAnsi="Times New Roman" w:cs="Times New Roman"/>
          <w:sz w:val="24"/>
          <w:szCs w:val="24"/>
        </w:rPr>
        <w:t>.</w:t>
      </w:r>
    </w:p>
    <w:p w:rsidR="008602DB" w:rsidRPr="003122A3" w:rsidRDefault="008602DB" w:rsidP="008602DB">
      <w:pPr>
        <w:spacing w:after="0" w:line="240" w:lineRule="auto"/>
        <w:jc w:val="both"/>
        <w:rPr>
          <w:rFonts w:ascii="Times New Roman" w:hAnsi="Times New Roman" w:cs="Times New Roman"/>
          <w:sz w:val="24"/>
          <w:szCs w:val="24"/>
          <w:rtl/>
        </w:rPr>
      </w:pPr>
    </w:p>
    <w:p w:rsidR="008602DB" w:rsidRDefault="008602DB" w:rsidP="00D2533C">
      <w:pPr>
        <w:pStyle w:val="Caption"/>
        <w:bidi w:val="0"/>
        <w:rPr>
          <w:sz w:val="22"/>
          <w:szCs w:val="22"/>
        </w:rPr>
      </w:pPr>
      <w:bookmarkStart w:id="54" w:name="_Toc420268232"/>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8602DB" w:rsidRDefault="008602DB" w:rsidP="008602DB">
      <w:pPr>
        <w:pStyle w:val="Caption"/>
        <w:bidi w:val="0"/>
        <w:rPr>
          <w:sz w:val="22"/>
          <w:szCs w:val="22"/>
        </w:rPr>
      </w:pPr>
    </w:p>
    <w:p w:rsidR="003478BC" w:rsidRPr="003122A3" w:rsidRDefault="003478BC" w:rsidP="00BC17D7">
      <w:pPr>
        <w:pStyle w:val="Caption"/>
        <w:bidi w:val="0"/>
        <w:rPr>
          <w:sz w:val="22"/>
          <w:szCs w:val="22"/>
        </w:rPr>
      </w:pPr>
      <w:r w:rsidRPr="003122A3">
        <w:rPr>
          <w:sz w:val="22"/>
          <w:szCs w:val="22"/>
        </w:rPr>
        <w:t>Figure</w:t>
      </w:r>
      <w:r w:rsidR="00433E61"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18</w:t>
      </w:r>
      <w:r w:rsidR="008F57C8" w:rsidRPr="003122A3">
        <w:rPr>
          <w:sz w:val="22"/>
          <w:szCs w:val="22"/>
          <w:rtl/>
        </w:rPr>
        <w:fldChar w:fldCharType="end"/>
      </w:r>
      <w:r w:rsidRPr="003122A3">
        <w:rPr>
          <w:sz w:val="22"/>
          <w:szCs w:val="22"/>
        </w:rPr>
        <w:t xml:space="preserve">: Infants’ Nutrition Patters </w:t>
      </w:r>
      <w:r w:rsidR="00BC17D7">
        <w:rPr>
          <w:sz w:val="22"/>
          <w:szCs w:val="22"/>
        </w:rPr>
        <w:t>by aga in</w:t>
      </w:r>
      <w:r w:rsidRPr="003122A3">
        <w:rPr>
          <w:sz w:val="22"/>
          <w:szCs w:val="22"/>
        </w:rPr>
        <w:t xml:space="preserve"> month of Age, 2014</w:t>
      </w:r>
      <w:bookmarkEnd w:id="54"/>
    </w:p>
    <w:p w:rsidR="00AF2E73" w:rsidRPr="003122A3" w:rsidRDefault="00AF2E73" w:rsidP="00D2533C">
      <w:pPr>
        <w:jc w:val="center"/>
        <w:rPr>
          <w:rFonts w:ascii="Times New Roman" w:hAnsi="Times New Roman" w:cs="Times New Roman"/>
          <w:b/>
          <w:bCs/>
          <w:color w:val="FF0000"/>
          <w:sz w:val="24"/>
          <w:szCs w:val="24"/>
        </w:rPr>
      </w:pPr>
      <w:r w:rsidRPr="003122A3">
        <w:rPr>
          <w:rFonts w:ascii="Times New Roman" w:hAnsi="Times New Roman" w:cs="Times New Roman"/>
          <w:b/>
          <w:bCs/>
          <w:noProof/>
          <w:color w:val="FF0000"/>
          <w:sz w:val="24"/>
          <w:szCs w:val="24"/>
        </w:rPr>
        <w:drawing>
          <wp:inline distT="0" distB="0" distL="0" distR="0">
            <wp:extent cx="5488305" cy="2333625"/>
            <wp:effectExtent l="19050" t="0" r="17145"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8B450D" w:rsidRPr="003122A3" w:rsidRDefault="008E259C" w:rsidP="00A605E2">
      <w:pPr>
        <w:jc w:val="both"/>
        <w:rPr>
          <w:rFonts w:ascii="Times New Roman" w:hAnsi="Times New Roman" w:cs="Times New Roman"/>
          <w:sz w:val="18"/>
          <w:szCs w:val="18"/>
          <w:rtl/>
        </w:rPr>
      </w:pPr>
      <w:r w:rsidRPr="003122A3">
        <w:rPr>
          <w:rFonts w:ascii="Times New Roman" w:hAnsi="Times New Roman" w:cs="Times New Roman"/>
          <w:color w:val="FF0000"/>
          <w:sz w:val="18"/>
          <w:szCs w:val="18"/>
        </w:rPr>
        <w:t xml:space="preserve">     </w:t>
      </w:r>
      <w:r w:rsidR="008B450D" w:rsidRPr="003122A3">
        <w:rPr>
          <w:rFonts w:ascii="Times New Roman" w:hAnsi="Times New Roman" w:cs="Times New Roman"/>
          <w:color w:val="FF0000"/>
          <w:sz w:val="18"/>
          <w:szCs w:val="18"/>
          <w:rtl/>
        </w:rPr>
        <w:t xml:space="preserve">         </w:t>
      </w:r>
      <w:r w:rsidR="009A7911" w:rsidRPr="003122A3">
        <w:rPr>
          <w:rFonts w:ascii="Times New Roman" w:hAnsi="Times New Roman" w:cs="Times New Roman"/>
          <w:sz w:val="18"/>
          <w:szCs w:val="18"/>
        </w:rPr>
        <w:t xml:space="preserve">Source: PCBS, </w:t>
      </w:r>
      <w:r w:rsidR="00A605E2" w:rsidRPr="00A605E2">
        <w:rPr>
          <w:rFonts w:ascii="Times New Roman" w:hAnsi="Times New Roman" w:cs="Times New Roman"/>
          <w:sz w:val="18"/>
          <w:szCs w:val="18"/>
        </w:rPr>
        <w:t>Multi</w:t>
      </w:r>
      <w:r w:rsidR="00DE1FA3">
        <w:rPr>
          <w:rFonts w:ascii="Times New Roman" w:hAnsi="Times New Roman" w:cs="Times New Roman"/>
          <w:sz w:val="18"/>
          <w:szCs w:val="18"/>
        </w:rPr>
        <w:t>ple</w:t>
      </w:r>
      <w:r w:rsidR="00A605E2" w:rsidRPr="00A605E2">
        <w:rPr>
          <w:rFonts w:ascii="Times New Roman" w:hAnsi="Times New Roman" w:cs="Times New Roman"/>
          <w:sz w:val="18"/>
          <w:szCs w:val="18"/>
        </w:rPr>
        <w:t xml:space="preserve"> Indicator Cluster Survey</w:t>
      </w:r>
      <w:r w:rsidR="00A605E2" w:rsidRPr="003122A3">
        <w:rPr>
          <w:rFonts w:ascii="Times New Roman" w:hAnsi="Times New Roman" w:cs="Times New Roman"/>
          <w:sz w:val="18"/>
          <w:szCs w:val="18"/>
        </w:rPr>
        <w:t xml:space="preserve"> </w:t>
      </w:r>
      <w:r w:rsidR="009A7911" w:rsidRPr="003122A3">
        <w:rPr>
          <w:rFonts w:ascii="Times New Roman" w:hAnsi="Times New Roman" w:cs="Times New Roman"/>
          <w:sz w:val="18"/>
          <w:szCs w:val="18"/>
        </w:rPr>
        <w:t>2014, unpublished data</w:t>
      </w:r>
      <w:r w:rsidR="008B450D" w:rsidRPr="003122A3">
        <w:rPr>
          <w:rFonts w:ascii="Times New Roman" w:hAnsi="Times New Roman" w:cs="Times New Roman"/>
          <w:sz w:val="18"/>
          <w:szCs w:val="18"/>
          <w:rtl/>
        </w:rPr>
        <w:t>.</w:t>
      </w:r>
    </w:p>
    <w:p w:rsidR="00BB4A29" w:rsidRPr="003122A3" w:rsidRDefault="00D304D2" w:rsidP="009A7911">
      <w:pPr>
        <w:pStyle w:val="Heading2"/>
        <w:ind w:firstLineChars="0" w:firstLine="0"/>
        <w:jc w:val="left"/>
        <w:rPr>
          <w:rFonts w:ascii="Times New Roman" w:hAnsi="Times New Roman" w:cs="Times New Roman"/>
          <w:sz w:val="24"/>
          <w:szCs w:val="24"/>
        </w:rPr>
      </w:pPr>
      <w:bookmarkStart w:id="55" w:name="_Toc420244991"/>
      <w:r w:rsidRPr="003122A3">
        <w:rPr>
          <w:rFonts w:ascii="Times New Roman" w:hAnsi="Times New Roman" w:cs="Times New Roman"/>
          <w:sz w:val="24"/>
          <w:szCs w:val="24"/>
        </w:rPr>
        <w:t>4.8 Underweight, Wasting, Stunting and Anemia</w:t>
      </w:r>
      <w:bookmarkEnd w:id="55"/>
    </w:p>
    <w:p w:rsidR="00433E61" w:rsidRPr="008602DB" w:rsidRDefault="00433E61" w:rsidP="008602DB">
      <w:pPr>
        <w:spacing w:after="0" w:line="240" w:lineRule="auto"/>
        <w:jc w:val="both"/>
        <w:rPr>
          <w:rStyle w:val="hps"/>
          <w:sz w:val="24"/>
          <w:szCs w:val="24"/>
        </w:rPr>
      </w:pPr>
    </w:p>
    <w:p w:rsidR="00D304D2" w:rsidRDefault="00D304D2" w:rsidP="008602DB">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Underweight is a significant indicator of the nutritional, social and health status of children and is usually associated with acute malnutrition. Stunting is linked to chronic malnutrition, which may also reflect poverty. Anemia is associated with the availability of food (quantity and quality), the health status of the child in terms of healthy eating habits, or any problem that may affect the absorption of iron by the child.</w:t>
      </w:r>
    </w:p>
    <w:p w:rsidR="008602DB" w:rsidRPr="003122A3" w:rsidRDefault="008602DB" w:rsidP="008602DB">
      <w:pPr>
        <w:spacing w:after="0" w:line="240" w:lineRule="auto"/>
        <w:jc w:val="both"/>
        <w:rPr>
          <w:rFonts w:ascii="Times New Roman" w:hAnsi="Times New Roman" w:cs="Times New Roman"/>
          <w:sz w:val="24"/>
          <w:szCs w:val="24"/>
        </w:rPr>
      </w:pPr>
    </w:p>
    <w:p w:rsidR="00D304D2" w:rsidRDefault="00D304D2" w:rsidP="008602DB">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8.3% of children in Palestine weighed at birth, weighed less than 2,500 grams. This was more common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in comparison with the West Bank</w:t>
      </w:r>
      <w:r w:rsidRPr="003122A3">
        <w:rPr>
          <w:rStyle w:val="FootnoteReference"/>
          <w:rFonts w:ascii="Times New Roman" w:hAnsi="Times New Roman" w:cs="Times New Roman"/>
          <w:sz w:val="24"/>
          <w:szCs w:val="24"/>
          <w:rtl/>
        </w:rPr>
        <w:footnoteReference w:id="34"/>
      </w:r>
      <w:r w:rsidRPr="003122A3">
        <w:rPr>
          <w:rFonts w:ascii="Times New Roman" w:hAnsi="Times New Roman" w:cs="Times New Roman"/>
          <w:sz w:val="24"/>
          <w:szCs w:val="24"/>
        </w:rPr>
        <w:t xml:space="preserve">, although with minimal differences. Since 2006, anemia rates have decreased, the percentage still remains very high, especially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Other nutritional indicators are low and </w:t>
      </w:r>
      <w:proofErr w:type="spellStart"/>
      <w:r w:rsidRPr="003122A3">
        <w:rPr>
          <w:rFonts w:ascii="Times New Roman" w:hAnsi="Times New Roman" w:cs="Times New Roman"/>
          <w:sz w:val="24"/>
          <w:szCs w:val="24"/>
        </w:rPr>
        <w:t>realtiely</w:t>
      </w:r>
      <w:proofErr w:type="spellEnd"/>
      <w:r w:rsidRPr="003122A3">
        <w:rPr>
          <w:rFonts w:ascii="Times New Roman" w:hAnsi="Times New Roman" w:cs="Times New Roman"/>
          <w:sz w:val="24"/>
          <w:szCs w:val="24"/>
        </w:rPr>
        <w:t xml:space="preserve"> similar for the West Bank and Gaza Strip. There is an urgent need to identify the reasons for this, especially as the Ministry of Health and UNRWA distribute a free iron supplement at primary health care centers. Nutritional interventions have been in place for over 20 years. Figure (19) below illustrates the anemia is the nutritional indicator of greatest concern and that health situation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is worse than in the West Bank in terms of nutritional indicators.</w:t>
      </w:r>
    </w:p>
    <w:p w:rsidR="008602DB" w:rsidRPr="003122A3" w:rsidRDefault="008602DB" w:rsidP="008602DB">
      <w:pPr>
        <w:spacing w:after="0" w:line="240" w:lineRule="auto"/>
        <w:jc w:val="both"/>
        <w:rPr>
          <w:rFonts w:ascii="Times New Roman" w:hAnsi="Times New Roman" w:cs="Times New Roman"/>
          <w:sz w:val="24"/>
          <w:szCs w:val="24"/>
        </w:rPr>
      </w:pPr>
    </w:p>
    <w:p w:rsidR="00D304D2" w:rsidRDefault="00D304D2" w:rsidP="008602DB">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On another level, a study conducted by the Ministry of Health, in cooperation with UNICEF and the University of Vienna in 2013, </w:t>
      </w:r>
      <w:r w:rsidR="008E259C" w:rsidRPr="003122A3">
        <w:rPr>
          <w:rFonts w:ascii="Times New Roman" w:hAnsi="Times New Roman" w:cs="Times New Roman"/>
          <w:sz w:val="24"/>
          <w:szCs w:val="24"/>
        </w:rPr>
        <w:t>s</w:t>
      </w:r>
      <w:r w:rsidRPr="003122A3">
        <w:rPr>
          <w:rFonts w:ascii="Times New Roman" w:hAnsi="Times New Roman" w:cs="Times New Roman"/>
          <w:sz w:val="24"/>
          <w:szCs w:val="24"/>
        </w:rPr>
        <w:t>ho</w:t>
      </w:r>
      <w:r w:rsidR="008E259C" w:rsidRPr="003122A3">
        <w:rPr>
          <w:rFonts w:ascii="Times New Roman" w:hAnsi="Times New Roman" w:cs="Times New Roman"/>
          <w:sz w:val="24"/>
          <w:szCs w:val="24"/>
        </w:rPr>
        <w:t>w</w:t>
      </w:r>
      <w:r w:rsidRPr="003122A3">
        <w:rPr>
          <w:rFonts w:ascii="Times New Roman" w:hAnsi="Times New Roman" w:cs="Times New Roman"/>
          <w:sz w:val="24"/>
          <w:szCs w:val="24"/>
        </w:rPr>
        <w:t xml:space="preserve">ed that 18.0% of children aging 6-59 months have slight anemia, 6.0% have moderate anemia while no cases of severe anemia was diagnosed among the sample children. Prevalence is higher among male children and children </w:t>
      </w:r>
      <w:r w:rsidR="00A91E3A">
        <w:rPr>
          <w:rFonts w:ascii="Times New Roman" w:hAnsi="Times New Roman" w:cs="Times New Roman"/>
          <w:sz w:val="24"/>
          <w:szCs w:val="24"/>
        </w:rPr>
        <w:t>in Gaza Strip</w:t>
      </w:r>
      <w:r w:rsidRPr="003122A3">
        <w:rPr>
          <w:rFonts w:ascii="Times New Roman" w:hAnsi="Times New Roman" w:cs="Times New Roman"/>
          <w:sz w:val="24"/>
          <w:szCs w:val="24"/>
        </w:rPr>
        <w:t>.</w:t>
      </w:r>
      <w:r w:rsidRPr="003122A3">
        <w:rPr>
          <w:rStyle w:val="FootnoteReference"/>
          <w:rFonts w:ascii="Times New Roman" w:hAnsi="Times New Roman" w:cs="Times New Roman"/>
          <w:sz w:val="24"/>
          <w:szCs w:val="24"/>
          <w:rtl/>
        </w:rPr>
        <w:t xml:space="preserve"> </w:t>
      </w:r>
      <w:r w:rsidRPr="003122A3">
        <w:rPr>
          <w:rStyle w:val="FootnoteReference"/>
          <w:rFonts w:ascii="Times New Roman" w:hAnsi="Times New Roman" w:cs="Times New Roman"/>
          <w:sz w:val="24"/>
          <w:szCs w:val="24"/>
          <w:rtl/>
        </w:rPr>
        <w:footnoteReference w:id="35"/>
      </w:r>
      <w:r w:rsidRPr="003122A3">
        <w:rPr>
          <w:rFonts w:ascii="Times New Roman" w:hAnsi="Times New Roman" w:cs="Times New Roman"/>
          <w:sz w:val="24"/>
          <w:szCs w:val="24"/>
        </w:rPr>
        <w:t xml:space="preserve"> Figure (19) shows that the prevalence of anemia among children aging 9-12 months is higher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than in the West Bank in 2012 although the gap was reduced in 2010.</w:t>
      </w:r>
    </w:p>
    <w:p w:rsidR="008602DB" w:rsidRDefault="008602DB" w:rsidP="008602DB">
      <w:pPr>
        <w:spacing w:after="0" w:line="240" w:lineRule="auto"/>
        <w:jc w:val="both"/>
        <w:rPr>
          <w:rFonts w:ascii="Times New Roman" w:hAnsi="Times New Roman" w:cs="Times New Roman"/>
          <w:sz w:val="24"/>
          <w:szCs w:val="24"/>
        </w:rPr>
      </w:pPr>
    </w:p>
    <w:p w:rsidR="008602DB" w:rsidRDefault="008602DB" w:rsidP="008602DB">
      <w:pPr>
        <w:spacing w:after="0" w:line="240" w:lineRule="auto"/>
        <w:jc w:val="both"/>
        <w:rPr>
          <w:rFonts w:ascii="Times New Roman" w:hAnsi="Times New Roman" w:cs="Times New Roman"/>
          <w:sz w:val="24"/>
          <w:szCs w:val="24"/>
        </w:rPr>
      </w:pPr>
    </w:p>
    <w:p w:rsidR="008602DB" w:rsidRDefault="008602DB" w:rsidP="008602DB">
      <w:pPr>
        <w:spacing w:after="0" w:line="240" w:lineRule="auto"/>
        <w:jc w:val="both"/>
        <w:rPr>
          <w:rFonts w:ascii="Times New Roman" w:hAnsi="Times New Roman" w:cs="Times New Roman"/>
          <w:sz w:val="24"/>
          <w:szCs w:val="24"/>
        </w:rPr>
      </w:pPr>
    </w:p>
    <w:p w:rsidR="008602DB" w:rsidRDefault="008602DB" w:rsidP="008602DB">
      <w:pPr>
        <w:spacing w:after="0" w:line="240" w:lineRule="auto"/>
        <w:jc w:val="both"/>
        <w:rPr>
          <w:rFonts w:ascii="Times New Roman" w:hAnsi="Times New Roman" w:cs="Times New Roman"/>
          <w:sz w:val="24"/>
          <w:szCs w:val="24"/>
        </w:rPr>
      </w:pPr>
    </w:p>
    <w:p w:rsidR="008602DB" w:rsidRDefault="008602DB" w:rsidP="008602DB">
      <w:pPr>
        <w:spacing w:after="0" w:line="240" w:lineRule="auto"/>
        <w:jc w:val="both"/>
        <w:rPr>
          <w:rFonts w:ascii="Times New Roman" w:hAnsi="Times New Roman" w:cs="Times New Roman"/>
          <w:sz w:val="24"/>
          <w:szCs w:val="24"/>
        </w:rPr>
      </w:pPr>
    </w:p>
    <w:p w:rsidR="008602DB" w:rsidRDefault="008602DB" w:rsidP="008602DB">
      <w:pPr>
        <w:spacing w:after="0" w:line="240" w:lineRule="auto"/>
        <w:jc w:val="both"/>
        <w:rPr>
          <w:rFonts w:ascii="Times New Roman" w:hAnsi="Times New Roman" w:cs="Times New Roman"/>
          <w:sz w:val="24"/>
          <w:szCs w:val="24"/>
        </w:rPr>
      </w:pPr>
    </w:p>
    <w:p w:rsidR="008602DB" w:rsidRPr="003122A3" w:rsidRDefault="008602DB" w:rsidP="008602DB">
      <w:pPr>
        <w:spacing w:after="0" w:line="240" w:lineRule="auto"/>
        <w:jc w:val="both"/>
        <w:rPr>
          <w:rFonts w:ascii="Times New Roman" w:hAnsi="Times New Roman" w:cs="Times New Roman"/>
          <w:sz w:val="24"/>
          <w:szCs w:val="24"/>
          <w:rtl/>
        </w:rPr>
      </w:pPr>
    </w:p>
    <w:p w:rsidR="003478BC" w:rsidRPr="003122A3" w:rsidRDefault="003478BC" w:rsidP="00D2533C">
      <w:pPr>
        <w:pStyle w:val="Caption"/>
        <w:bidi w:val="0"/>
        <w:rPr>
          <w:sz w:val="22"/>
          <w:szCs w:val="22"/>
        </w:rPr>
      </w:pPr>
      <w:bookmarkStart w:id="56" w:name="_Toc420268233"/>
      <w:r w:rsidRPr="003122A3">
        <w:rPr>
          <w:sz w:val="22"/>
          <w:szCs w:val="22"/>
        </w:rPr>
        <w:t>Figure</w:t>
      </w:r>
      <w:r w:rsidR="000957D3"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19</w:t>
      </w:r>
      <w:r w:rsidR="008F57C8" w:rsidRPr="003122A3">
        <w:rPr>
          <w:sz w:val="22"/>
          <w:szCs w:val="22"/>
          <w:rtl/>
        </w:rPr>
        <w:fldChar w:fldCharType="end"/>
      </w:r>
      <w:r w:rsidRPr="003122A3">
        <w:rPr>
          <w:sz w:val="22"/>
          <w:szCs w:val="22"/>
        </w:rPr>
        <w:t>: Prevalence of Anemia among Children Aged 9-12 Months by Region, 2006-2011</w:t>
      </w:r>
      <w:bookmarkEnd w:id="56"/>
    </w:p>
    <w:p w:rsidR="00A84AA7" w:rsidRPr="003122A3" w:rsidRDefault="00A84AA7" w:rsidP="00D2533C">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594295" cy="2003729"/>
            <wp:effectExtent l="19050" t="0" r="25455" b="0"/>
            <wp:docPr id="33"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A84AA7" w:rsidRPr="003122A3" w:rsidRDefault="00433E61" w:rsidP="009A7911">
      <w:pPr>
        <w:rPr>
          <w:rFonts w:ascii="Times New Roman" w:hAnsi="Times New Roman" w:cs="Times New Roman"/>
          <w:sz w:val="18"/>
          <w:szCs w:val="18"/>
          <w:rtl/>
        </w:rPr>
      </w:pPr>
      <w:r w:rsidRPr="003122A3">
        <w:rPr>
          <w:rFonts w:ascii="Times New Roman" w:hAnsi="Times New Roman" w:cs="Times New Roman"/>
          <w:sz w:val="18"/>
          <w:szCs w:val="18"/>
        </w:rPr>
        <w:t xml:space="preserve">         </w:t>
      </w:r>
      <w:r w:rsidR="009A7911" w:rsidRPr="003122A3">
        <w:rPr>
          <w:rFonts w:ascii="Times New Roman" w:hAnsi="Times New Roman" w:cs="Times New Roman"/>
          <w:sz w:val="18"/>
          <w:szCs w:val="18"/>
        </w:rPr>
        <w:t xml:space="preserve">Source: </w:t>
      </w:r>
      <w:proofErr w:type="spellStart"/>
      <w:r w:rsidR="009A7911" w:rsidRPr="003122A3">
        <w:rPr>
          <w:rFonts w:ascii="Times New Roman" w:hAnsi="Times New Roman" w:cs="Times New Roman"/>
          <w:sz w:val="18"/>
          <w:szCs w:val="18"/>
        </w:rPr>
        <w:t>MoH</w:t>
      </w:r>
      <w:proofErr w:type="spellEnd"/>
      <w:r w:rsidR="009A7911" w:rsidRPr="003122A3">
        <w:rPr>
          <w:rFonts w:ascii="Times New Roman" w:hAnsi="Times New Roman" w:cs="Times New Roman"/>
          <w:sz w:val="18"/>
          <w:szCs w:val="18"/>
        </w:rPr>
        <w:t>, Nutritional Monitoring Indicators Report</w:t>
      </w:r>
      <w:r w:rsidR="00DA7D7F">
        <w:rPr>
          <w:rFonts w:ascii="Times New Roman" w:hAnsi="Times New Roman" w:cs="Times New Roman"/>
          <w:sz w:val="18"/>
          <w:szCs w:val="18"/>
        </w:rPr>
        <w:t xml:space="preserve"> 2012</w:t>
      </w:r>
      <w:r w:rsidR="009A7911" w:rsidRPr="003122A3">
        <w:rPr>
          <w:rFonts w:ascii="Times New Roman" w:hAnsi="Times New Roman" w:cs="Times New Roman"/>
          <w:sz w:val="18"/>
          <w:szCs w:val="18"/>
        </w:rPr>
        <w:t>, p. 119</w:t>
      </w:r>
      <w:r w:rsidR="00A84AA7" w:rsidRPr="003122A3">
        <w:rPr>
          <w:rFonts w:ascii="Times New Roman" w:hAnsi="Times New Roman" w:cs="Times New Roman"/>
          <w:sz w:val="18"/>
          <w:szCs w:val="18"/>
          <w:rtl/>
        </w:rPr>
        <w:t>.</w:t>
      </w:r>
    </w:p>
    <w:p w:rsidR="00D304D2" w:rsidRPr="003122A3" w:rsidRDefault="00D304D2" w:rsidP="008602DB">
      <w:pPr>
        <w:spacing w:after="0" w:line="240" w:lineRule="auto"/>
        <w:jc w:val="both"/>
        <w:rPr>
          <w:rFonts w:ascii="Times New Roman" w:eastAsia="Times New Roman" w:hAnsi="Times New Roman" w:cs="Times New Roman"/>
          <w:sz w:val="24"/>
          <w:szCs w:val="24"/>
          <w:rtl/>
        </w:rPr>
      </w:pPr>
      <w:r w:rsidRPr="003122A3">
        <w:rPr>
          <w:rFonts w:ascii="Times New Roman" w:eastAsia="Times New Roman" w:hAnsi="Times New Roman" w:cs="Times New Roman"/>
          <w:sz w:val="24"/>
          <w:szCs w:val="24"/>
        </w:rPr>
        <w:t xml:space="preserve">Malnutrition indicators show that 1.4% of children under 5 years are moderately underweight in 2014; the figures are higher in the West Bank than </w:t>
      </w:r>
      <w:r w:rsidR="00A91E3A">
        <w:rPr>
          <w:rFonts w:ascii="Times New Roman" w:eastAsia="Times New Roman" w:hAnsi="Times New Roman" w:cs="Times New Roman"/>
          <w:sz w:val="24"/>
          <w:szCs w:val="24"/>
        </w:rPr>
        <w:t>in Gaza Strip</w:t>
      </w:r>
      <w:r w:rsidRPr="003122A3">
        <w:rPr>
          <w:rFonts w:ascii="Times New Roman" w:eastAsia="Times New Roman" w:hAnsi="Times New Roman" w:cs="Times New Roman"/>
          <w:sz w:val="24"/>
          <w:szCs w:val="24"/>
        </w:rPr>
        <w:t xml:space="preserve"> (being 1.5% and 1.3% respectively). Around 7.4% of children below five years old suffer from moderate stunting, with higher </w:t>
      </w:r>
      <w:r w:rsidR="008E259C" w:rsidRPr="003122A3">
        <w:rPr>
          <w:rFonts w:ascii="Times New Roman" w:eastAsia="Times New Roman" w:hAnsi="Times New Roman" w:cs="Times New Roman"/>
          <w:sz w:val="24"/>
          <w:szCs w:val="24"/>
        </w:rPr>
        <w:t>prevalence</w:t>
      </w:r>
      <w:r w:rsidRPr="003122A3">
        <w:rPr>
          <w:rFonts w:ascii="Times New Roman" w:eastAsia="Times New Roman" w:hAnsi="Times New Roman" w:cs="Times New Roman"/>
          <w:sz w:val="24"/>
          <w:szCs w:val="24"/>
        </w:rPr>
        <w:t xml:space="preserve"> in the West Bank than the Gaza Strip (7.7% and 7.1% respectively). 1.2% of children under 5 years suffer from moderate wasting with higher </w:t>
      </w:r>
      <w:r w:rsidR="008E259C" w:rsidRPr="003122A3">
        <w:rPr>
          <w:rFonts w:ascii="Times New Roman" w:eastAsia="Times New Roman" w:hAnsi="Times New Roman" w:cs="Times New Roman"/>
          <w:sz w:val="24"/>
          <w:szCs w:val="24"/>
        </w:rPr>
        <w:t>prevalence</w:t>
      </w:r>
      <w:r w:rsidRPr="003122A3">
        <w:rPr>
          <w:rFonts w:ascii="Times New Roman" w:eastAsia="Times New Roman" w:hAnsi="Times New Roman" w:cs="Times New Roman"/>
          <w:sz w:val="24"/>
          <w:szCs w:val="24"/>
        </w:rPr>
        <w:t xml:space="preserve"> in the West Bank (1.7%) than </w:t>
      </w:r>
      <w:r w:rsidR="00A91E3A">
        <w:rPr>
          <w:rFonts w:ascii="Times New Roman" w:eastAsia="Times New Roman" w:hAnsi="Times New Roman" w:cs="Times New Roman"/>
          <w:sz w:val="24"/>
          <w:szCs w:val="24"/>
        </w:rPr>
        <w:t>in Gaza Strip</w:t>
      </w:r>
      <w:r w:rsidRPr="003122A3">
        <w:rPr>
          <w:rFonts w:ascii="Times New Roman" w:eastAsia="Times New Roman" w:hAnsi="Times New Roman" w:cs="Times New Roman"/>
          <w:sz w:val="24"/>
          <w:szCs w:val="24"/>
        </w:rPr>
        <w:t xml:space="preserve"> (0.7%).</w:t>
      </w:r>
      <w:r w:rsidR="00DE40AB">
        <w:rPr>
          <w:rFonts w:ascii="Times New Roman" w:eastAsia="Times New Roman" w:hAnsi="Times New Roman" w:cs="Times New Roman"/>
          <w:sz w:val="24"/>
          <w:szCs w:val="24"/>
        </w:rPr>
        <w:t xml:space="preserve"> </w:t>
      </w:r>
      <w:r w:rsidRPr="003122A3">
        <w:rPr>
          <w:rFonts w:ascii="Times New Roman" w:eastAsia="Times New Roman" w:hAnsi="Times New Roman" w:cs="Times New Roman"/>
          <w:sz w:val="24"/>
          <w:szCs w:val="24"/>
        </w:rPr>
        <w:t xml:space="preserve"> 8.2% of children under 5 years were overweight, which higher </w:t>
      </w:r>
      <w:r w:rsidR="008E259C" w:rsidRPr="003122A3">
        <w:rPr>
          <w:rFonts w:ascii="Times New Roman" w:eastAsia="Times New Roman" w:hAnsi="Times New Roman" w:cs="Times New Roman"/>
          <w:sz w:val="24"/>
          <w:szCs w:val="24"/>
        </w:rPr>
        <w:t>prevalence</w:t>
      </w:r>
      <w:r w:rsidRPr="003122A3">
        <w:rPr>
          <w:rFonts w:ascii="Times New Roman" w:eastAsia="Times New Roman" w:hAnsi="Times New Roman" w:cs="Times New Roman"/>
          <w:sz w:val="24"/>
          <w:szCs w:val="24"/>
        </w:rPr>
        <w:t xml:space="preserve"> in the West Bank and urban areas than the Gaza Strip and refugee camps (9.8%, 7.9%, 6.5% and 6.1% respectively). The incidence was higher among males (9.1%) compared to females (7.1%).</w:t>
      </w:r>
      <w:r w:rsidRPr="003122A3">
        <w:rPr>
          <w:rStyle w:val="FootnoteReference"/>
          <w:rFonts w:ascii="Times New Roman" w:eastAsia="Times New Roman" w:hAnsi="Times New Roman" w:cs="Times New Roman"/>
          <w:sz w:val="24"/>
          <w:szCs w:val="24"/>
          <w:rtl/>
        </w:rPr>
        <w:footnoteReference w:id="36"/>
      </w:r>
    </w:p>
    <w:p w:rsidR="00433E61" w:rsidRPr="003122A3" w:rsidRDefault="00433E61" w:rsidP="00D2533C">
      <w:pPr>
        <w:pStyle w:val="Caption"/>
        <w:bidi w:val="0"/>
      </w:pPr>
      <w:bookmarkStart w:id="57" w:name="_Toc420268234"/>
    </w:p>
    <w:p w:rsidR="003478BC" w:rsidRPr="003122A3" w:rsidRDefault="003478BC" w:rsidP="00433E61">
      <w:pPr>
        <w:pStyle w:val="Caption"/>
        <w:bidi w:val="0"/>
        <w:rPr>
          <w:sz w:val="22"/>
          <w:szCs w:val="22"/>
        </w:rPr>
      </w:pPr>
      <w:r w:rsidRPr="003122A3">
        <w:rPr>
          <w:sz w:val="22"/>
          <w:szCs w:val="22"/>
        </w:rPr>
        <w:t>Figure</w:t>
      </w:r>
      <w:r w:rsidR="000957D3"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20</w:t>
      </w:r>
      <w:r w:rsidR="008F57C8" w:rsidRPr="003122A3">
        <w:rPr>
          <w:sz w:val="22"/>
          <w:szCs w:val="22"/>
          <w:rtl/>
        </w:rPr>
        <w:fldChar w:fldCharType="end"/>
      </w:r>
      <w:r w:rsidRPr="003122A3">
        <w:rPr>
          <w:sz w:val="22"/>
          <w:szCs w:val="22"/>
        </w:rPr>
        <w:t>: Prevalence of Malnutrition among Children under Five by Region, 2000 – 2014</w:t>
      </w:r>
      <w:bookmarkEnd w:id="57"/>
    </w:p>
    <w:p w:rsidR="00EE4585" w:rsidRPr="003122A3" w:rsidRDefault="00EE4585" w:rsidP="00D2533C">
      <w:pPr>
        <w:jc w:val="center"/>
        <w:rPr>
          <w:rFonts w:ascii="Times New Roman" w:eastAsia="Times New Roman" w:hAnsi="Times New Roman" w:cs="Times New Roman"/>
          <w:b/>
          <w:bCs/>
          <w:sz w:val="24"/>
          <w:szCs w:val="24"/>
          <w:rtl/>
        </w:rPr>
      </w:pPr>
      <w:r w:rsidRPr="003122A3">
        <w:rPr>
          <w:rFonts w:ascii="Times New Roman" w:eastAsia="Times New Roman" w:hAnsi="Times New Roman" w:cs="Times New Roman"/>
          <w:b/>
          <w:bCs/>
          <w:noProof/>
          <w:sz w:val="24"/>
          <w:szCs w:val="24"/>
          <w:rtl/>
        </w:rPr>
        <w:drawing>
          <wp:inline distT="0" distB="0" distL="0" distR="0">
            <wp:extent cx="5739296" cy="2702174"/>
            <wp:effectExtent l="19050" t="0" r="13804" b="2926"/>
            <wp:docPr id="56"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746EDE" w:rsidRPr="003122A3" w:rsidRDefault="00433E61" w:rsidP="008E259C">
      <w:pPr>
        <w:jc w:val="both"/>
        <w:rPr>
          <w:rFonts w:ascii="Times New Roman" w:hAnsi="Times New Roman" w:cs="Times New Roman"/>
          <w:sz w:val="18"/>
          <w:szCs w:val="18"/>
          <w:rtl/>
        </w:rPr>
      </w:pPr>
      <w:r w:rsidRPr="003122A3">
        <w:rPr>
          <w:rFonts w:ascii="Times New Roman" w:hAnsi="Times New Roman" w:cs="Times New Roman"/>
          <w:sz w:val="18"/>
          <w:szCs w:val="18"/>
        </w:rPr>
        <w:t xml:space="preserve">      </w:t>
      </w:r>
      <w:r w:rsidR="009A7911" w:rsidRPr="003122A3">
        <w:rPr>
          <w:rFonts w:ascii="Times New Roman" w:hAnsi="Times New Roman" w:cs="Times New Roman"/>
          <w:sz w:val="18"/>
          <w:szCs w:val="18"/>
        </w:rPr>
        <w:t xml:space="preserve">Source: PCBS, </w:t>
      </w:r>
      <w:r w:rsidR="008E259C" w:rsidRPr="003122A3">
        <w:rPr>
          <w:rFonts w:ascii="Times New Roman" w:hAnsi="Times New Roman" w:cs="Times New Roman"/>
          <w:sz w:val="18"/>
          <w:szCs w:val="18"/>
        </w:rPr>
        <w:t>PMICS 2014, unpublished data</w:t>
      </w:r>
    </w:p>
    <w:p w:rsidR="00D304D2" w:rsidRPr="003122A3" w:rsidRDefault="00D304D2" w:rsidP="008602DB">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Figure (21) below illustrates malnutrition among children aged 9-12 months as extracted from the data of monitoring conducted by the Nutrition Department in the Ministry of Health for the period 2006-2011</w:t>
      </w:r>
    </w:p>
    <w:p w:rsidR="003478BC" w:rsidRDefault="003478BC" w:rsidP="003478BC">
      <w:pPr>
        <w:pStyle w:val="Caption"/>
        <w:bidi w:val="0"/>
        <w:jc w:val="both"/>
      </w:pPr>
    </w:p>
    <w:p w:rsidR="008602DB" w:rsidRPr="008602DB" w:rsidRDefault="008602DB" w:rsidP="008602DB"/>
    <w:p w:rsidR="003478BC" w:rsidRPr="003122A3" w:rsidRDefault="003478BC" w:rsidP="00363BDC">
      <w:pPr>
        <w:pStyle w:val="Caption"/>
        <w:bidi w:val="0"/>
        <w:rPr>
          <w:sz w:val="22"/>
          <w:szCs w:val="22"/>
        </w:rPr>
      </w:pPr>
      <w:bookmarkStart w:id="58" w:name="_Toc420268235"/>
      <w:r w:rsidRPr="003122A3">
        <w:rPr>
          <w:sz w:val="22"/>
          <w:szCs w:val="22"/>
        </w:rPr>
        <w:t>Figure</w:t>
      </w:r>
      <w:r w:rsidR="000957D3"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21</w:t>
      </w:r>
      <w:r w:rsidR="008F57C8" w:rsidRPr="003122A3">
        <w:rPr>
          <w:sz w:val="22"/>
          <w:szCs w:val="22"/>
          <w:rtl/>
        </w:rPr>
        <w:fldChar w:fldCharType="end"/>
      </w:r>
      <w:r w:rsidRPr="003122A3">
        <w:rPr>
          <w:sz w:val="22"/>
          <w:szCs w:val="22"/>
        </w:rPr>
        <w:t xml:space="preserve">: Prevalence of Malnutrition among Children Aged 9-12 Months </w:t>
      </w:r>
      <w:r w:rsidR="00363BDC">
        <w:rPr>
          <w:sz w:val="22"/>
          <w:szCs w:val="22"/>
        </w:rPr>
        <w:t>by</w:t>
      </w:r>
      <w:r w:rsidRPr="003122A3">
        <w:rPr>
          <w:sz w:val="22"/>
          <w:szCs w:val="22"/>
        </w:rPr>
        <w:t xml:space="preserve"> Region 2006-2011</w:t>
      </w:r>
      <w:bookmarkEnd w:id="58"/>
    </w:p>
    <w:p w:rsidR="00645C2E" w:rsidRPr="003122A3" w:rsidRDefault="00645C2E" w:rsidP="00D2533C">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655334" cy="2165230"/>
            <wp:effectExtent l="19050" t="0" r="21566" b="6470"/>
            <wp:docPr id="24"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645C2E" w:rsidRPr="00883F93" w:rsidRDefault="00645C2E" w:rsidP="008E657F">
      <w:pPr>
        <w:jc w:val="both"/>
        <w:rPr>
          <w:rFonts w:ascii="Times New Roman" w:hAnsi="Times New Roman" w:cs="Times New Roman"/>
          <w:sz w:val="18"/>
          <w:szCs w:val="18"/>
          <w:rtl/>
        </w:rPr>
      </w:pPr>
      <w:r w:rsidRPr="00883F93">
        <w:rPr>
          <w:rFonts w:ascii="Times New Roman" w:hAnsi="Times New Roman" w:cs="Times New Roman"/>
          <w:sz w:val="18"/>
          <w:szCs w:val="18"/>
          <w:rtl/>
        </w:rPr>
        <w:t xml:space="preserve"> </w:t>
      </w:r>
      <w:r w:rsidR="00D2533C" w:rsidRPr="00883F93">
        <w:rPr>
          <w:rFonts w:ascii="Times New Roman" w:hAnsi="Times New Roman" w:cs="Times New Roman"/>
          <w:sz w:val="18"/>
          <w:szCs w:val="18"/>
        </w:rPr>
        <w:t xml:space="preserve">        </w:t>
      </w:r>
      <w:r w:rsidR="009A7911" w:rsidRPr="00883F93">
        <w:rPr>
          <w:rFonts w:ascii="Times New Roman" w:hAnsi="Times New Roman" w:cs="Times New Roman"/>
          <w:sz w:val="18"/>
          <w:szCs w:val="18"/>
        </w:rPr>
        <w:t xml:space="preserve">Source: </w:t>
      </w:r>
      <w:proofErr w:type="spellStart"/>
      <w:r w:rsidR="009A7911" w:rsidRPr="00883F93">
        <w:rPr>
          <w:rFonts w:ascii="Times New Roman" w:hAnsi="Times New Roman" w:cs="Times New Roman"/>
          <w:sz w:val="18"/>
          <w:szCs w:val="18"/>
        </w:rPr>
        <w:t>MoH</w:t>
      </w:r>
      <w:proofErr w:type="spellEnd"/>
      <w:r w:rsidR="009A7911" w:rsidRPr="00883F93">
        <w:rPr>
          <w:rFonts w:ascii="Times New Roman" w:hAnsi="Times New Roman" w:cs="Times New Roman"/>
          <w:sz w:val="18"/>
          <w:szCs w:val="18"/>
        </w:rPr>
        <w:t>, Nutritional Monitoring Indicators Report</w:t>
      </w:r>
      <w:r w:rsidR="00003D31">
        <w:rPr>
          <w:rFonts w:ascii="Times New Roman" w:hAnsi="Times New Roman" w:cs="Times New Roman"/>
          <w:sz w:val="18"/>
          <w:szCs w:val="18"/>
        </w:rPr>
        <w:t xml:space="preserve"> 2012</w:t>
      </w:r>
      <w:r w:rsidR="009A7911" w:rsidRPr="00883F93">
        <w:rPr>
          <w:rFonts w:ascii="Times New Roman" w:hAnsi="Times New Roman" w:cs="Times New Roman"/>
          <w:sz w:val="18"/>
          <w:szCs w:val="18"/>
        </w:rPr>
        <w:t>, p. 119</w:t>
      </w:r>
      <w:r w:rsidRPr="00883F93">
        <w:rPr>
          <w:rFonts w:ascii="Times New Roman" w:hAnsi="Times New Roman" w:cs="Times New Roman"/>
          <w:sz w:val="18"/>
          <w:szCs w:val="18"/>
          <w:rtl/>
        </w:rPr>
        <w:t xml:space="preserve">    </w:t>
      </w:r>
    </w:p>
    <w:p w:rsidR="00A84AA7" w:rsidRDefault="00A84AA7"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Default="008602DB" w:rsidP="008E657F">
      <w:pPr>
        <w:jc w:val="both"/>
        <w:rPr>
          <w:rFonts w:ascii="Times New Roman" w:hAnsi="Times New Roman" w:cs="Times New Roman"/>
          <w:sz w:val="18"/>
          <w:szCs w:val="18"/>
        </w:rPr>
      </w:pPr>
    </w:p>
    <w:p w:rsidR="008602DB" w:rsidRPr="003122A3" w:rsidRDefault="008602DB" w:rsidP="008E657F">
      <w:pPr>
        <w:jc w:val="both"/>
        <w:rPr>
          <w:rFonts w:ascii="Times New Roman" w:hAnsi="Times New Roman" w:cs="Times New Roman"/>
          <w:sz w:val="18"/>
          <w:szCs w:val="18"/>
          <w:rtl/>
        </w:rPr>
      </w:pPr>
    </w:p>
    <w:p w:rsidR="00A84AA7" w:rsidRPr="003122A3" w:rsidRDefault="00A84AA7" w:rsidP="008E657F">
      <w:pPr>
        <w:jc w:val="both"/>
        <w:rPr>
          <w:rFonts w:ascii="Times New Roman" w:hAnsi="Times New Roman" w:cs="Times New Roman"/>
          <w:sz w:val="18"/>
          <w:szCs w:val="18"/>
        </w:rPr>
      </w:pPr>
    </w:p>
    <w:p w:rsidR="00433E61" w:rsidRPr="003122A3" w:rsidRDefault="00433E61" w:rsidP="008E657F">
      <w:pPr>
        <w:jc w:val="both"/>
        <w:rPr>
          <w:rFonts w:ascii="Times New Roman" w:hAnsi="Times New Roman" w:cs="Times New Roman"/>
          <w:sz w:val="18"/>
          <w:szCs w:val="18"/>
          <w:rtl/>
        </w:rPr>
      </w:pPr>
    </w:p>
    <w:p w:rsidR="00796B8D" w:rsidRPr="00883F93" w:rsidRDefault="00D304D2" w:rsidP="009A7911">
      <w:pPr>
        <w:pStyle w:val="Heading1"/>
        <w:jc w:val="center"/>
        <w:rPr>
          <w:rFonts w:ascii="Times New Roman" w:hAnsi="Times New Roman" w:cs="Times New Roman"/>
          <w:b w:val="0"/>
          <w:bCs w:val="0"/>
          <w:color w:val="auto"/>
          <w:sz w:val="24"/>
          <w:szCs w:val="24"/>
          <w:rtl/>
        </w:rPr>
      </w:pPr>
      <w:bookmarkStart w:id="59" w:name="_Toc420244992"/>
      <w:r w:rsidRPr="00883F93">
        <w:rPr>
          <w:rFonts w:ascii="Times New Roman" w:hAnsi="Times New Roman" w:cs="Times New Roman"/>
          <w:b w:val="0"/>
          <w:bCs w:val="0"/>
          <w:color w:val="auto"/>
          <w:sz w:val="24"/>
          <w:szCs w:val="24"/>
        </w:rPr>
        <w:t>Chapter Five</w:t>
      </w:r>
      <w:bookmarkEnd w:id="59"/>
    </w:p>
    <w:p w:rsidR="00C264A5" w:rsidRPr="003122A3" w:rsidRDefault="00D304D2" w:rsidP="009A7911">
      <w:pPr>
        <w:pStyle w:val="Heading1"/>
        <w:jc w:val="center"/>
        <w:rPr>
          <w:rFonts w:ascii="Times New Roman" w:hAnsi="Times New Roman" w:cs="Times New Roman"/>
          <w:color w:val="auto"/>
          <w:rtl/>
        </w:rPr>
      </w:pPr>
      <w:bookmarkStart w:id="60" w:name="_Toc420244993"/>
      <w:r w:rsidRPr="003122A3">
        <w:rPr>
          <w:rFonts w:ascii="Times New Roman" w:hAnsi="Times New Roman" w:cs="Times New Roman"/>
          <w:color w:val="auto"/>
        </w:rPr>
        <w:t>Children under Occupation</w:t>
      </w:r>
      <w:bookmarkEnd w:id="60"/>
    </w:p>
    <w:p w:rsidR="007D17C2" w:rsidRPr="00391F11" w:rsidRDefault="007D17C2" w:rsidP="008E657F">
      <w:pPr>
        <w:jc w:val="both"/>
        <w:rPr>
          <w:rFonts w:ascii="Times New Roman" w:hAnsi="Times New Roman" w:cs="Times New Roman"/>
          <w:sz w:val="24"/>
          <w:szCs w:val="24"/>
          <w:rtl/>
        </w:rPr>
      </w:pPr>
    </w:p>
    <w:p w:rsidR="00D304D2" w:rsidRDefault="00D304D2" w:rsidP="00B435E1">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UNICIF and Child Defense International document cases in which children are killed, wounded, forcibly displaced or recruited with an asserted intention of harm (for use as human shields or as informers) by Israel. They do not document some violations, such as traffic accidents caused by Israeli settlers in which the intention is proven</w:t>
      </w:r>
      <w:r w:rsidRPr="003122A3">
        <w:rPr>
          <w:rStyle w:val="FootnoteReference"/>
          <w:rFonts w:ascii="Times New Roman" w:hAnsi="Times New Roman" w:cs="Times New Roman"/>
          <w:sz w:val="24"/>
          <w:szCs w:val="24"/>
          <w:rtl/>
        </w:rPr>
        <w:footnoteReference w:id="37"/>
      </w:r>
      <w:r w:rsidRPr="003122A3">
        <w:rPr>
          <w:rFonts w:ascii="Times New Roman" w:hAnsi="Times New Roman" w:cs="Times New Roman"/>
          <w:sz w:val="24"/>
          <w:szCs w:val="24"/>
        </w:rPr>
        <w:t xml:space="preserve">. The Office for the Coordination of Humanitarian Affairs (OCHA) also documents all cases, regardless of intent. The different filters of these agencies result in some differences in figures. Child victims whose age group was unknown are designated Age 0. Statistics published by </w:t>
      </w:r>
      <w:proofErr w:type="spellStart"/>
      <w:r w:rsidRPr="003122A3">
        <w:rPr>
          <w:rFonts w:ascii="Times New Roman" w:hAnsi="Times New Roman" w:cs="Times New Roman"/>
          <w:sz w:val="24"/>
          <w:szCs w:val="24"/>
        </w:rPr>
        <w:t>Betselem</w:t>
      </w:r>
      <w:proofErr w:type="spellEnd"/>
      <w:r w:rsidRPr="003122A3">
        <w:rPr>
          <w:rFonts w:ascii="Times New Roman" w:hAnsi="Times New Roman" w:cs="Times New Roman"/>
          <w:sz w:val="24"/>
          <w:szCs w:val="24"/>
        </w:rPr>
        <w:t xml:space="preserve"> indicated that 545 </w:t>
      </w:r>
      <w:proofErr w:type="spellStart"/>
      <w:r w:rsidRPr="003122A3">
        <w:rPr>
          <w:rFonts w:ascii="Times New Roman" w:hAnsi="Times New Roman" w:cs="Times New Roman"/>
          <w:sz w:val="24"/>
          <w:szCs w:val="24"/>
        </w:rPr>
        <w:t>hosues</w:t>
      </w:r>
      <w:proofErr w:type="spellEnd"/>
      <w:r w:rsidRPr="003122A3">
        <w:rPr>
          <w:rFonts w:ascii="Times New Roman" w:hAnsi="Times New Roman" w:cs="Times New Roman"/>
          <w:sz w:val="24"/>
          <w:szCs w:val="24"/>
        </w:rPr>
        <w:t xml:space="preserve"> were demolished in East Jerusalem between 2004 and end 2014. 817 housing units in Area C in the West Bank were demolished in the period from 2006 till end 2014. The figure below shows that 578 children were forcible displaced in the period from 200</w:t>
      </w:r>
      <w:r w:rsidR="00B435E1">
        <w:rPr>
          <w:rFonts w:ascii="Times New Roman" w:hAnsi="Times New Roman" w:cs="Times New Roman"/>
          <w:sz w:val="24"/>
          <w:szCs w:val="24"/>
        </w:rPr>
        <w:t>9-</w:t>
      </w:r>
      <w:r w:rsidRPr="003122A3">
        <w:rPr>
          <w:rFonts w:ascii="Times New Roman" w:hAnsi="Times New Roman" w:cs="Times New Roman"/>
          <w:sz w:val="24"/>
          <w:szCs w:val="24"/>
        </w:rPr>
        <w:t>2014 following demolition of their homes in East Jerusalem while 2,354 other children were displaced for the same reason in Area (c).</w:t>
      </w:r>
    </w:p>
    <w:p w:rsidR="002A6C92" w:rsidRPr="003122A3" w:rsidRDefault="002A6C92" w:rsidP="002A6C92">
      <w:pPr>
        <w:spacing w:after="0" w:line="240" w:lineRule="auto"/>
        <w:jc w:val="both"/>
        <w:rPr>
          <w:rFonts w:ascii="Times New Roman" w:hAnsi="Times New Roman" w:cs="Times New Roman"/>
          <w:sz w:val="24"/>
          <w:szCs w:val="24"/>
          <w:rtl/>
        </w:rPr>
      </w:pPr>
    </w:p>
    <w:p w:rsidR="003478BC" w:rsidRPr="003122A3" w:rsidRDefault="003478BC" w:rsidP="00433E61">
      <w:pPr>
        <w:pStyle w:val="Caption"/>
        <w:bidi w:val="0"/>
        <w:rPr>
          <w:sz w:val="22"/>
          <w:szCs w:val="22"/>
        </w:rPr>
      </w:pPr>
      <w:bookmarkStart w:id="61" w:name="_Toc420268236"/>
      <w:r w:rsidRPr="003122A3">
        <w:rPr>
          <w:sz w:val="22"/>
          <w:szCs w:val="22"/>
        </w:rPr>
        <w:t>Figure</w:t>
      </w:r>
      <w:r w:rsidR="00433E61"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22</w:t>
      </w:r>
      <w:r w:rsidR="008F57C8" w:rsidRPr="003122A3">
        <w:rPr>
          <w:sz w:val="22"/>
          <w:szCs w:val="22"/>
          <w:rtl/>
        </w:rPr>
        <w:fldChar w:fldCharType="end"/>
      </w:r>
      <w:r w:rsidRPr="003122A3">
        <w:rPr>
          <w:sz w:val="22"/>
          <w:szCs w:val="22"/>
        </w:rPr>
        <w:t>: Number of Children Forcibly Displaced in Area C and East Jerusalem because of House Demolition by Israeli Occupation Forces, 2009-2014</w:t>
      </w:r>
      <w:bookmarkEnd w:id="61"/>
    </w:p>
    <w:p w:rsidR="00E40728" w:rsidRPr="003122A3" w:rsidRDefault="00E40728" w:rsidP="00D2533C">
      <w:pPr>
        <w:jc w:val="center"/>
        <w:rPr>
          <w:rFonts w:ascii="Times New Roman" w:hAnsi="Times New Roman" w:cs="Times New Roman"/>
          <w:sz w:val="16"/>
          <w:szCs w:val="16"/>
          <w:rtl/>
        </w:rPr>
      </w:pPr>
      <w:r w:rsidRPr="003122A3">
        <w:rPr>
          <w:rFonts w:ascii="Times New Roman" w:hAnsi="Times New Roman" w:cs="Times New Roman"/>
          <w:noProof/>
        </w:rPr>
        <w:drawing>
          <wp:inline distT="0" distB="0" distL="0" distR="0">
            <wp:extent cx="5659644" cy="2162755"/>
            <wp:effectExtent l="19050" t="0" r="17256" b="8945"/>
            <wp:docPr id="34"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701DC0" w:rsidRDefault="00D2533C" w:rsidP="009914CC">
      <w:pPr>
        <w:jc w:val="both"/>
        <w:rPr>
          <w:rFonts w:ascii="Times New Roman" w:hAnsi="Times New Roman" w:cs="Times New Roman"/>
          <w:sz w:val="18"/>
          <w:szCs w:val="18"/>
        </w:rPr>
      </w:pPr>
      <w:r w:rsidRPr="00363A7A">
        <w:rPr>
          <w:rFonts w:ascii="Times New Roman" w:hAnsi="Times New Roman" w:cs="Times New Roman"/>
          <w:sz w:val="18"/>
          <w:szCs w:val="18"/>
        </w:rPr>
        <w:t xml:space="preserve">         </w:t>
      </w:r>
      <w:r w:rsidR="009914CC" w:rsidRPr="00363A7A">
        <w:rPr>
          <w:rFonts w:ascii="Times New Roman" w:hAnsi="Times New Roman" w:cs="Times New Roman"/>
          <w:sz w:val="18"/>
          <w:szCs w:val="18"/>
        </w:rPr>
        <w:t xml:space="preserve">UNICEF, 2014, Database on Children Harmed by Armed Conflict, Unpublished data </w:t>
      </w:r>
    </w:p>
    <w:p w:rsidR="002A6C92" w:rsidRPr="00363A7A" w:rsidRDefault="002A6C92" w:rsidP="009914CC">
      <w:pPr>
        <w:jc w:val="both"/>
        <w:rPr>
          <w:rFonts w:ascii="Times New Roman" w:hAnsi="Times New Roman" w:cs="Times New Roman"/>
          <w:sz w:val="4"/>
          <w:szCs w:val="4"/>
          <w:rtl/>
        </w:rPr>
      </w:pPr>
    </w:p>
    <w:p w:rsidR="00C50D57" w:rsidRPr="003122A3" w:rsidRDefault="00D304D2" w:rsidP="009914CC">
      <w:pPr>
        <w:pStyle w:val="Heading2"/>
        <w:ind w:firstLineChars="0" w:firstLine="0"/>
        <w:jc w:val="left"/>
        <w:rPr>
          <w:rFonts w:ascii="Times New Roman" w:hAnsi="Times New Roman" w:cs="Times New Roman"/>
          <w:sz w:val="24"/>
          <w:szCs w:val="24"/>
        </w:rPr>
      </w:pPr>
      <w:bookmarkStart w:id="62" w:name="_Toc420244994"/>
      <w:r w:rsidRPr="003122A3">
        <w:rPr>
          <w:rFonts w:ascii="Times New Roman" w:hAnsi="Times New Roman" w:cs="Times New Roman"/>
          <w:sz w:val="24"/>
          <w:szCs w:val="24"/>
        </w:rPr>
        <w:t>5.1 Injured Children</w:t>
      </w:r>
      <w:bookmarkEnd w:id="62"/>
    </w:p>
    <w:p w:rsidR="00433E61" w:rsidRPr="002A6C92" w:rsidRDefault="00433E61" w:rsidP="002A6C92">
      <w:pPr>
        <w:spacing w:after="0" w:line="240" w:lineRule="auto"/>
        <w:jc w:val="both"/>
        <w:rPr>
          <w:rFonts w:ascii="Times New Roman" w:hAnsi="Times New Roman" w:cs="Times New Roman"/>
          <w:sz w:val="24"/>
          <w:szCs w:val="24"/>
        </w:rPr>
      </w:pPr>
    </w:p>
    <w:p w:rsidR="00D304D2" w:rsidRPr="003122A3" w:rsidRDefault="00D304D2" w:rsidP="002A6C9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number of injured children tripled in 2014 compared to 2013, scoring its highest toll during the war on Gaza. 2,956 children were injured in 2014, with male children comprising 74.5% of the total number of injured children in 2014.</w:t>
      </w:r>
    </w:p>
    <w:p w:rsidR="00D2533C" w:rsidRDefault="00D2533C" w:rsidP="008E657F">
      <w:pPr>
        <w:jc w:val="both"/>
        <w:rPr>
          <w:rFonts w:ascii="Times New Roman" w:hAnsi="Times New Roman" w:cs="Times New Roman"/>
          <w:sz w:val="24"/>
          <w:szCs w:val="24"/>
        </w:rPr>
      </w:pPr>
    </w:p>
    <w:p w:rsidR="002A6C92" w:rsidRDefault="002A6C92" w:rsidP="008E657F">
      <w:pPr>
        <w:jc w:val="both"/>
        <w:rPr>
          <w:rFonts w:ascii="Times New Roman" w:hAnsi="Times New Roman" w:cs="Times New Roman"/>
          <w:sz w:val="24"/>
          <w:szCs w:val="24"/>
        </w:rPr>
      </w:pPr>
    </w:p>
    <w:p w:rsidR="002A6C92" w:rsidRDefault="002A6C92" w:rsidP="008E657F">
      <w:pPr>
        <w:jc w:val="both"/>
        <w:rPr>
          <w:rFonts w:ascii="Times New Roman" w:hAnsi="Times New Roman" w:cs="Times New Roman"/>
          <w:sz w:val="24"/>
          <w:szCs w:val="24"/>
        </w:rPr>
      </w:pPr>
    </w:p>
    <w:p w:rsidR="00883F93" w:rsidRPr="003122A3" w:rsidRDefault="00883F93" w:rsidP="008E657F">
      <w:pPr>
        <w:jc w:val="both"/>
        <w:rPr>
          <w:rFonts w:ascii="Times New Roman" w:hAnsi="Times New Roman" w:cs="Times New Roman"/>
          <w:sz w:val="24"/>
          <w:szCs w:val="24"/>
          <w:rtl/>
        </w:rPr>
      </w:pPr>
    </w:p>
    <w:p w:rsidR="000D7934" w:rsidRPr="003122A3" w:rsidRDefault="000D7934" w:rsidP="00680BA9">
      <w:pPr>
        <w:pStyle w:val="Caption"/>
        <w:keepNext/>
        <w:bidi w:val="0"/>
        <w:rPr>
          <w:sz w:val="22"/>
          <w:szCs w:val="22"/>
        </w:rPr>
      </w:pPr>
      <w:bookmarkStart w:id="63" w:name="_Toc420269302"/>
      <w:r w:rsidRPr="003122A3">
        <w:rPr>
          <w:sz w:val="22"/>
          <w:szCs w:val="22"/>
        </w:rPr>
        <w:t>Table</w:t>
      </w:r>
      <w:r w:rsidR="00A104E3"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4</w:t>
      </w:r>
      <w:r w:rsidR="008F57C8" w:rsidRPr="003122A3">
        <w:rPr>
          <w:sz w:val="22"/>
          <w:szCs w:val="22"/>
          <w:rtl/>
        </w:rPr>
        <w:fldChar w:fldCharType="end"/>
      </w:r>
      <w:r w:rsidRPr="003122A3">
        <w:rPr>
          <w:sz w:val="22"/>
          <w:szCs w:val="22"/>
        </w:rPr>
        <w:t xml:space="preserve">: Number of Injured Children by </w:t>
      </w:r>
      <w:r w:rsidR="00680BA9" w:rsidRPr="003122A3">
        <w:rPr>
          <w:sz w:val="22"/>
          <w:szCs w:val="22"/>
        </w:rPr>
        <w:t>Sex</w:t>
      </w:r>
      <w:r w:rsidRPr="003122A3">
        <w:rPr>
          <w:sz w:val="22"/>
          <w:szCs w:val="22"/>
        </w:rPr>
        <w:t xml:space="preserve"> and Year</w:t>
      </w:r>
      <w:bookmarkEnd w:id="63"/>
    </w:p>
    <w:tbl>
      <w:tblPr>
        <w:tblStyle w:val="LightShading-Accent11"/>
        <w:tblW w:w="0" w:type="auto"/>
        <w:jc w:val="center"/>
        <w:tblLook w:val="04A0"/>
      </w:tblPr>
      <w:tblGrid>
        <w:gridCol w:w="1375"/>
        <w:gridCol w:w="1375"/>
        <w:gridCol w:w="1375"/>
        <w:gridCol w:w="1376"/>
        <w:gridCol w:w="1376"/>
        <w:gridCol w:w="1376"/>
        <w:gridCol w:w="1376"/>
      </w:tblGrid>
      <w:tr w:rsidR="002935B7" w:rsidRPr="003122A3" w:rsidTr="00BF1212">
        <w:trPr>
          <w:cnfStyle w:val="100000000000"/>
          <w:trHeight w:val="454"/>
          <w:jc w:val="center"/>
        </w:trPr>
        <w:tc>
          <w:tcPr>
            <w:cnfStyle w:val="001000000000"/>
            <w:tcW w:w="1375" w:type="dxa"/>
            <w:tcBorders>
              <w:top w:val="single" w:sz="4" w:space="0" w:color="auto"/>
              <w:left w:val="single" w:sz="4" w:space="0" w:color="auto"/>
              <w:right w:val="single" w:sz="4" w:space="0" w:color="auto"/>
            </w:tcBorders>
          </w:tcPr>
          <w:p w:rsidR="002935B7" w:rsidRPr="003122A3" w:rsidRDefault="00680BA9" w:rsidP="00A104E3">
            <w:pPr>
              <w:pStyle w:val="Figure"/>
              <w:spacing w:line="276" w:lineRule="auto"/>
              <w:jc w:val="center"/>
              <w:rPr>
                <w:rFonts w:ascii="Times New Roman" w:hAnsi="Times New Roman" w:cs="Times New Roman"/>
                <w:color w:val="auto"/>
                <w:sz w:val="20"/>
                <w:szCs w:val="20"/>
              </w:rPr>
            </w:pPr>
            <w:r w:rsidRPr="003122A3">
              <w:rPr>
                <w:rFonts w:ascii="Times New Roman" w:hAnsi="Times New Roman" w:cs="Times New Roman"/>
                <w:color w:val="auto"/>
                <w:sz w:val="20"/>
                <w:szCs w:val="20"/>
              </w:rPr>
              <w:t>Sex</w:t>
            </w:r>
          </w:p>
        </w:tc>
        <w:tc>
          <w:tcPr>
            <w:tcW w:w="1375" w:type="dxa"/>
            <w:tcBorders>
              <w:top w:val="single" w:sz="4" w:space="0" w:color="auto"/>
              <w:left w:val="single" w:sz="4" w:space="0" w:color="auto"/>
              <w:right w:val="single" w:sz="4" w:space="0" w:color="auto"/>
            </w:tcBorders>
          </w:tcPr>
          <w:p w:rsidR="002935B7" w:rsidRPr="003122A3" w:rsidRDefault="002935B7" w:rsidP="00A104E3">
            <w:pPr>
              <w:pStyle w:val="Figure"/>
              <w:spacing w:line="276" w:lineRule="auto"/>
              <w:jc w:val="center"/>
              <w:cnfStyle w:val="100000000000"/>
              <w:rPr>
                <w:rFonts w:ascii="Times New Roman" w:hAnsi="Times New Roman" w:cs="Times New Roman"/>
                <w:color w:val="auto"/>
                <w:sz w:val="20"/>
                <w:szCs w:val="20"/>
              </w:rPr>
            </w:pPr>
            <w:r w:rsidRPr="003122A3">
              <w:rPr>
                <w:rFonts w:ascii="Times New Roman" w:hAnsi="Times New Roman" w:cs="Times New Roman"/>
                <w:color w:val="auto"/>
                <w:sz w:val="20"/>
                <w:szCs w:val="20"/>
              </w:rPr>
              <w:t>2010</w:t>
            </w:r>
          </w:p>
        </w:tc>
        <w:tc>
          <w:tcPr>
            <w:tcW w:w="1375" w:type="dxa"/>
            <w:tcBorders>
              <w:top w:val="single" w:sz="4" w:space="0" w:color="auto"/>
              <w:left w:val="single" w:sz="4" w:space="0" w:color="auto"/>
              <w:right w:val="single" w:sz="4" w:space="0" w:color="auto"/>
            </w:tcBorders>
          </w:tcPr>
          <w:p w:rsidR="002935B7" w:rsidRPr="003122A3" w:rsidRDefault="002935B7" w:rsidP="00A104E3">
            <w:pPr>
              <w:pStyle w:val="Figure"/>
              <w:spacing w:line="276" w:lineRule="auto"/>
              <w:jc w:val="center"/>
              <w:cnfStyle w:val="100000000000"/>
              <w:rPr>
                <w:rFonts w:ascii="Times New Roman" w:hAnsi="Times New Roman" w:cs="Times New Roman"/>
                <w:color w:val="auto"/>
                <w:sz w:val="20"/>
                <w:szCs w:val="20"/>
              </w:rPr>
            </w:pPr>
            <w:r w:rsidRPr="003122A3">
              <w:rPr>
                <w:rFonts w:ascii="Times New Roman" w:hAnsi="Times New Roman" w:cs="Times New Roman"/>
                <w:color w:val="auto"/>
                <w:sz w:val="20"/>
                <w:szCs w:val="20"/>
              </w:rPr>
              <w:t>2011</w:t>
            </w:r>
          </w:p>
        </w:tc>
        <w:tc>
          <w:tcPr>
            <w:tcW w:w="1376" w:type="dxa"/>
            <w:tcBorders>
              <w:top w:val="single" w:sz="4" w:space="0" w:color="auto"/>
              <w:left w:val="single" w:sz="4" w:space="0" w:color="auto"/>
              <w:right w:val="single" w:sz="4" w:space="0" w:color="auto"/>
            </w:tcBorders>
          </w:tcPr>
          <w:p w:rsidR="002935B7" w:rsidRPr="003122A3" w:rsidRDefault="002935B7" w:rsidP="00A104E3">
            <w:pPr>
              <w:pStyle w:val="Figure"/>
              <w:spacing w:line="276" w:lineRule="auto"/>
              <w:jc w:val="center"/>
              <w:cnfStyle w:val="100000000000"/>
              <w:rPr>
                <w:rFonts w:ascii="Times New Roman" w:hAnsi="Times New Roman" w:cs="Times New Roman"/>
                <w:color w:val="auto"/>
                <w:sz w:val="20"/>
                <w:szCs w:val="20"/>
              </w:rPr>
            </w:pPr>
            <w:r w:rsidRPr="003122A3">
              <w:rPr>
                <w:rFonts w:ascii="Times New Roman" w:hAnsi="Times New Roman" w:cs="Times New Roman"/>
                <w:color w:val="auto"/>
                <w:sz w:val="20"/>
                <w:szCs w:val="20"/>
              </w:rPr>
              <w:t>2012</w:t>
            </w:r>
          </w:p>
        </w:tc>
        <w:tc>
          <w:tcPr>
            <w:tcW w:w="1376" w:type="dxa"/>
            <w:tcBorders>
              <w:top w:val="single" w:sz="4" w:space="0" w:color="auto"/>
              <w:left w:val="single" w:sz="4" w:space="0" w:color="auto"/>
              <w:right w:val="single" w:sz="4" w:space="0" w:color="auto"/>
            </w:tcBorders>
          </w:tcPr>
          <w:p w:rsidR="002935B7" w:rsidRPr="003122A3" w:rsidRDefault="002935B7" w:rsidP="00A104E3">
            <w:pPr>
              <w:pStyle w:val="Figure"/>
              <w:spacing w:line="276" w:lineRule="auto"/>
              <w:jc w:val="center"/>
              <w:cnfStyle w:val="100000000000"/>
              <w:rPr>
                <w:rFonts w:ascii="Times New Roman" w:hAnsi="Times New Roman" w:cs="Times New Roman"/>
                <w:color w:val="auto"/>
                <w:sz w:val="20"/>
                <w:szCs w:val="20"/>
              </w:rPr>
            </w:pPr>
            <w:r w:rsidRPr="003122A3">
              <w:rPr>
                <w:rFonts w:ascii="Times New Roman" w:hAnsi="Times New Roman" w:cs="Times New Roman"/>
                <w:color w:val="auto"/>
                <w:sz w:val="20"/>
                <w:szCs w:val="20"/>
              </w:rPr>
              <w:t>2013</w:t>
            </w:r>
          </w:p>
        </w:tc>
        <w:tc>
          <w:tcPr>
            <w:tcW w:w="1376" w:type="dxa"/>
            <w:tcBorders>
              <w:top w:val="single" w:sz="4" w:space="0" w:color="auto"/>
              <w:left w:val="single" w:sz="4" w:space="0" w:color="auto"/>
              <w:right w:val="single" w:sz="4" w:space="0" w:color="auto"/>
            </w:tcBorders>
          </w:tcPr>
          <w:p w:rsidR="002935B7" w:rsidRPr="003122A3" w:rsidRDefault="002935B7" w:rsidP="00A104E3">
            <w:pPr>
              <w:pStyle w:val="Figure"/>
              <w:spacing w:line="276" w:lineRule="auto"/>
              <w:jc w:val="center"/>
              <w:cnfStyle w:val="100000000000"/>
              <w:rPr>
                <w:rFonts w:ascii="Times New Roman" w:hAnsi="Times New Roman" w:cs="Times New Roman"/>
                <w:color w:val="auto"/>
                <w:sz w:val="20"/>
                <w:szCs w:val="20"/>
              </w:rPr>
            </w:pPr>
            <w:r w:rsidRPr="003122A3">
              <w:rPr>
                <w:rFonts w:ascii="Times New Roman" w:hAnsi="Times New Roman" w:cs="Times New Roman"/>
                <w:color w:val="auto"/>
                <w:sz w:val="20"/>
                <w:szCs w:val="20"/>
              </w:rPr>
              <w:t>2014</w:t>
            </w:r>
          </w:p>
        </w:tc>
        <w:tc>
          <w:tcPr>
            <w:tcW w:w="1376" w:type="dxa"/>
            <w:tcBorders>
              <w:top w:val="single" w:sz="4" w:space="0" w:color="auto"/>
              <w:left w:val="single" w:sz="4" w:space="0" w:color="auto"/>
              <w:right w:val="single" w:sz="4" w:space="0" w:color="auto"/>
            </w:tcBorders>
          </w:tcPr>
          <w:p w:rsidR="002935B7" w:rsidRPr="003122A3" w:rsidRDefault="002935B7" w:rsidP="00A104E3">
            <w:pPr>
              <w:pStyle w:val="Figure"/>
              <w:spacing w:line="276" w:lineRule="auto"/>
              <w:jc w:val="center"/>
              <w:cnfStyle w:val="100000000000"/>
              <w:rPr>
                <w:rFonts w:ascii="Times New Roman" w:hAnsi="Times New Roman" w:cs="Times New Roman"/>
                <w:color w:val="auto"/>
                <w:sz w:val="20"/>
                <w:szCs w:val="20"/>
              </w:rPr>
            </w:pPr>
            <w:r w:rsidRPr="003122A3">
              <w:rPr>
                <w:rFonts w:ascii="Times New Roman" w:hAnsi="Times New Roman" w:cs="Times New Roman"/>
                <w:color w:val="auto"/>
                <w:sz w:val="20"/>
                <w:szCs w:val="20"/>
              </w:rPr>
              <w:t>Total</w:t>
            </w:r>
          </w:p>
        </w:tc>
      </w:tr>
      <w:tr w:rsidR="002935B7" w:rsidRPr="003122A3" w:rsidTr="00BF1212">
        <w:trPr>
          <w:cnfStyle w:val="000000100000"/>
          <w:trHeight w:val="454"/>
          <w:jc w:val="center"/>
        </w:trPr>
        <w:tc>
          <w:tcPr>
            <w:cnfStyle w:val="001000000000"/>
            <w:tcW w:w="1375" w:type="dxa"/>
            <w:tcBorders>
              <w:top w:val="single" w:sz="8" w:space="0" w:color="4F81BD"/>
              <w:left w:val="single" w:sz="4" w:space="0" w:color="auto"/>
              <w:bottom w:val="nil"/>
              <w:right w:val="single" w:sz="4" w:space="0" w:color="auto"/>
            </w:tcBorders>
          </w:tcPr>
          <w:p w:rsidR="002935B7" w:rsidRPr="003122A3" w:rsidRDefault="002935B7" w:rsidP="00680BA9">
            <w:pPr>
              <w:pStyle w:val="Figure"/>
              <w:spacing w:line="276" w:lineRule="auto"/>
              <w:jc w:val="left"/>
              <w:rPr>
                <w:rFonts w:ascii="Times New Roman" w:hAnsi="Times New Roman" w:cs="Times New Roman"/>
                <w:color w:val="auto"/>
                <w:sz w:val="20"/>
                <w:szCs w:val="20"/>
              </w:rPr>
            </w:pPr>
            <w:r w:rsidRPr="003122A3">
              <w:rPr>
                <w:rFonts w:ascii="Times New Roman" w:hAnsi="Times New Roman" w:cs="Times New Roman"/>
                <w:color w:val="auto"/>
                <w:sz w:val="20"/>
                <w:szCs w:val="20"/>
              </w:rPr>
              <w:t>Male</w:t>
            </w:r>
          </w:p>
        </w:tc>
        <w:tc>
          <w:tcPr>
            <w:tcW w:w="1375" w:type="dxa"/>
            <w:tcBorders>
              <w:left w:val="single" w:sz="4" w:space="0" w:color="auto"/>
            </w:tcBorders>
          </w:tcPr>
          <w:p w:rsidR="002935B7" w:rsidRPr="003122A3" w:rsidRDefault="002935B7" w:rsidP="00A104E3">
            <w:pPr>
              <w:pStyle w:val="Figure"/>
              <w:spacing w:line="276" w:lineRule="auto"/>
              <w:jc w:val="center"/>
              <w:cnfStyle w:val="0000001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342</w:t>
            </w:r>
          </w:p>
        </w:tc>
        <w:tc>
          <w:tcPr>
            <w:tcW w:w="1375" w:type="dxa"/>
          </w:tcPr>
          <w:p w:rsidR="002935B7" w:rsidRPr="003122A3" w:rsidRDefault="002935B7" w:rsidP="00A104E3">
            <w:pPr>
              <w:pStyle w:val="Figure"/>
              <w:spacing w:line="276" w:lineRule="auto"/>
              <w:jc w:val="center"/>
              <w:cnfStyle w:val="0000001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393</w:t>
            </w:r>
          </w:p>
        </w:tc>
        <w:tc>
          <w:tcPr>
            <w:tcW w:w="1376" w:type="dxa"/>
          </w:tcPr>
          <w:p w:rsidR="002935B7" w:rsidRPr="003122A3" w:rsidRDefault="002935B7" w:rsidP="00A104E3">
            <w:pPr>
              <w:pStyle w:val="Figure"/>
              <w:spacing w:line="276" w:lineRule="auto"/>
              <w:jc w:val="center"/>
              <w:cnfStyle w:val="0000001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639</w:t>
            </w:r>
          </w:p>
        </w:tc>
        <w:tc>
          <w:tcPr>
            <w:tcW w:w="1376" w:type="dxa"/>
          </w:tcPr>
          <w:p w:rsidR="002935B7" w:rsidRPr="003122A3" w:rsidRDefault="002935B7" w:rsidP="00A104E3">
            <w:pPr>
              <w:pStyle w:val="Figure"/>
              <w:spacing w:line="276" w:lineRule="auto"/>
              <w:jc w:val="center"/>
              <w:cnfStyle w:val="0000001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1,206</w:t>
            </w:r>
          </w:p>
        </w:tc>
        <w:tc>
          <w:tcPr>
            <w:tcW w:w="1376" w:type="dxa"/>
          </w:tcPr>
          <w:p w:rsidR="002935B7" w:rsidRPr="003122A3" w:rsidRDefault="002935B7" w:rsidP="00A104E3">
            <w:pPr>
              <w:pStyle w:val="Figure"/>
              <w:spacing w:line="276" w:lineRule="auto"/>
              <w:jc w:val="center"/>
              <w:cnfStyle w:val="0000001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3,167</w:t>
            </w:r>
          </w:p>
        </w:tc>
        <w:tc>
          <w:tcPr>
            <w:tcW w:w="1376" w:type="dxa"/>
            <w:tcBorders>
              <w:right w:val="single" w:sz="4" w:space="0" w:color="auto"/>
            </w:tcBorders>
          </w:tcPr>
          <w:p w:rsidR="002935B7" w:rsidRPr="003122A3" w:rsidRDefault="002935B7" w:rsidP="00A104E3">
            <w:pPr>
              <w:pStyle w:val="Figure"/>
              <w:spacing w:line="276" w:lineRule="auto"/>
              <w:jc w:val="center"/>
              <w:cnfStyle w:val="000000100000"/>
              <w:rPr>
                <w:rFonts w:ascii="Times New Roman" w:hAnsi="Times New Roman" w:cs="Times New Roman"/>
                <w:color w:val="auto"/>
                <w:sz w:val="20"/>
                <w:szCs w:val="20"/>
              </w:rPr>
            </w:pPr>
            <w:r w:rsidRPr="003122A3">
              <w:rPr>
                <w:rFonts w:ascii="Times New Roman" w:hAnsi="Times New Roman" w:cs="Times New Roman"/>
                <w:color w:val="auto"/>
                <w:sz w:val="20"/>
                <w:szCs w:val="20"/>
              </w:rPr>
              <w:t>5,747</w:t>
            </w:r>
          </w:p>
        </w:tc>
      </w:tr>
      <w:tr w:rsidR="002935B7" w:rsidRPr="003122A3" w:rsidTr="00BF1212">
        <w:trPr>
          <w:trHeight w:val="454"/>
          <w:jc w:val="center"/>
        </w:trPr>
        <w:tc>
          <w:tcPr>
            <w:cnfStyle w:val="001000000000"/>
            <w:tcW w:w="1375" w:type="dxa"/>
            <w:tcBorders>
              <w:top w:val="nil"/>
              <w:left w:val="single" w:sz="4" w:space="0" w:color="auto"/>
              <w:bottom w:val="nil"/>
              <w:right w:val="single" w:sz="4" w:space="0" w:color="auto"/>
            </w:tcBorders>
          </w:tcPr>
          <w:p w:rsidR="002935B7" w:rsidRPr="003122A3" w:rsidRDefault="002935B7" w:rsidP="00680BA9">
            <w:pPr>
              <w:pStyle w:val="Figure"/>
              <w:spacing w:line="276" w:lineRule="auto"/>
              <w:jc w:val="left"/>
              <w:rPr>
                <w:rFonts w:ascii="Times New Roman" w:hAnsi="Times New Roman" w:cs="Times New Roman"/>
                <w:color w:val="auto"/>
                <w:sz w:val="20"/>
                <w:szCs w:val="20"/>
              </w:rPr>
            </w:pPr>
            <w:r w:rsidRPr="003122A3">
              <w:rPr>
                <w:rFonts w:ascii="Times New Roman" w:hAnsi="Times New Roman" w:cs="Times New Roman"/>
                <w:color w:val="auto"/>
                <w:sz w:val="20"/>
                <w:szCs w:val="20"/>
              </w:rPr>
              <w:t>Fe</w:t>
            </w:r>
            <w:r w:rsidR="00680BA9" w:rsidRPr="003122A3">
              <w:rPr>
                <w:rFonts w:ascii="Times New Roman" w:hAnsi="Times New Roman" w:cs="Times New Roman"/>
                <w:color w:val="auto"/>
                <w:sz w:val="20"/>
                <w:szCs w:val="20"/>
              </w:rPr>
              <w:t>ma</w:t>
            </w:r>
            <w:r w:rsidRPr="003122A3">
              <w:rPr>
                <w:rFonts w:ascii="Times New Roman" w:hAnsi="Times New Roman" w:cs="Times New Roman"/>
                <w:color w:val="auto"/>
                <w:sz w:val="20"/>
                <w:szCs w:val="20"/>
              </w:rPr>
              <w:t>le</w:t>
            </w:r>
          </w:p>
        </w:tc>
        <w:tc>
          <w:tcPr>
            <w:tcW w:w="1375" w:type="dxa"/>
            <w:tcBorders>
              <w:left w:val="single" w:sz="4" w:space="0" w:color="auto"/>
            </w:tcBorders>
          </w:tcPr>
          <w:p w:rsidR="002935B7" w:rsidRPr="003122A3" w:rsidRDefault="002935B7" w:rsidP="00A104E3">
            <w:pPr>
              <w:pStyle w:val="Figure"/>
              <w:spacing w:line="276" w:lineRule="auto"/>
              <w:jc w:val="center"/>
              <w:cnfStyle w:val="0000000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18</w:t>
            </w:r>
          </w:p>
        </w:tc>
        <w:tc>
          <w:tcPr>
            <w:tcW w:w="1375" w:type="dxa"/>
          </w:tcPr>
          <w:p w:rsidR="002935B7" w:rsidRPr="003122A3" w:rsidRDefault="002935B7" w:rsidP="00A104E3">
            <w:pPr>
              <w:pStyle w:val="Figure"/>
              <w:spacing w:line="276" w:lineRule="auto"/>
              <w:jc w:val="center"/>
              <w:cnfStyle w:val="0000000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56</w:t>
            </w:r>
          </w:p>
        </w:tc>
        <w:tc>
          <w:tcPr>
            <w:tcW w:w="1376" w:type="dxa"/>
          </w:tcPr>
          <w:p w:rsidR="002935B7" w:rsidRPr="003122A3" w:rsidRDefault="002935B7" w:rsidP="00A104E3">
            <w:pPr>
              <w:pStyle w:val="Figure"/>
              <w:spacing w:line="276" w:lineRule="auto"/>
              <w:jc w:val="center"/>
              <w:cnfStyle w:val="0000000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25</w:t>
            </w:r>
          </w:p>
        </w:tc>
        <w:tc>
          <w:tcPr>
            <w:tcW w:w="1376" w:type="dxa"/>
          </w:tcPr>
          <w:p w:rsidR="002935B7" w:rsidRPr="003122A3" w:rsidRDefault="002935B7" w:rsidP="00A104E3">
            <w:pPr>
              <w:pStyle w:val="Figure"/>
              <w:spacing w:line="276" w:lineRule="auto"/>
              <w:jc w:val="center"/>
              <w:cnfStyle w:val="0000000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59</w:t>
            </w:r>
          </w:p>
        </w:tc>
        <w:tc>
          <w:tcPr>
            <w:tcW w:w="1376" w:type="dxa"/>
          </w:tcPr>
          <w:p w:rsidR="002935B7" w:rsidRPr="003122A3" w:rsidRDefault="002935B7" w:rsidP="00A104E3">
            <w:pPr>
              <w:pStyle w:val="Figure"/>
              <w:spacing w:line="276" w:lineRule="auto"/>
              <w:jc w:val="center"/>
              <w:cnfStyle w:val="000000000000"/>
              <w:rPr>
                <w:rFonts w:ascii="Times New Roman" w:hAnsi="Times New Roman" w:cs="Times New Roman"/>
                <w:b w:val="0"/>
                <w:bCs w:val="0"/>
                <w:color w:val="auto"/>
                <w:sz w:val="20"/>
                <w:szCs w:val="20"/>
              </w:rPr>
            </w:pPr>
            <w:r w:rsidRPr="003122A3">
              <w:rPr>
                <w:rFonts w:ascii="Times New Roman" w:hAnsi="Times New Roman" w:cs="Times New Roman"/>
                <w:b w:val="0"/>
                <w:bCs w:val="0"/>
                <w:color w:val="auto"/>
                <w:sz w:val="20"/>
                <w:szCs w:val="20"/>
              </w:rPr>
              <w:t>1,080</w:t>
            </w:r>
          </w:p>
        </w:tc>
        <w:tc>
          <w:tcPr>
            <w:tcW w:w="1376" w:type="dxa"/>
            <w:tcBorders>
              <w:right w:val="single" w:sz="4" w:space="0" w:color="auto"/>
            </w:tcBorders>
          </w:tcPr>
          <w:p w:rsidR="002935B7" w:rsidRPr="003122A3" w:rsidRDefault="002935B7" w:rsidP="00A104E3">
            <w:pPr>
              <w:pStyle w:val="Figure"/>
              <w:spacing w:line="276" w:lineRule="auto"/>
              <w:jc w:val="center"/>
              <w:cnfStyle w:val="000000000000"/>
              <w:rPr>
                <w:rFonts w:ascii="Times New Roman" w:hAnsi="Times New Roman" w:cs="Times New Roman"/>
                <w:color w:val="auto"/>
                <w:sz w:val="20"/>
                <w:szCs w:val="20"/>
              </w:rPr>
            </w:pPr>
            <w:r w:rsidRPr="003122A3">
              <w:rPr>
                <w:rFonts w:ascii="Times New Roman" w:hAnsi="Times New Roman" w:cs="Times New Roman"/>
                <w:color w:val="auto"/>
                <w:sz w:val="20"/>
                <w:szCs w:val="20"/>
              </w:rPr>
              <w:t>1,238</w:t>
            </w:r>
          </w:p>
        </w:tc>
      </w:tr>
      <w:tr w:rsidR="002935B7" w:rsidRPr="003122A3" w:rsidTr="00BF1212">
        <w:trPr>
          <w:cnfStyle w:val="000000100000"/>
          <w:trHeight w:val="454"/>
          <w:jc w:val="center"/>
        </w:trPr>
        <w:tc>
          <w:tcPr>
            <w:cnfStyle w:val="001000000000"/>
            <w:tcW w:w="1375" w:type="dxa"/>
            <w:tcBorders>
              <w:top w:val="nil"/>
              <w:left w:val="single" w:sz="4" w:space="0" w:color="auto"/>
              <w:bottom w:val="single" w:sz="4" w:space="0" w:color="auto"/>
              <w:right w:val="single" w:sz="4" w:space="0" w:color="auto"/>
            </w:tcBorders>
          </w:tcPr>
          <w:p w:rsidR="002935B7" w:rsidRPr="003122A3" w:rsidRDefault="002935B7" w:rsidP="00680BA9">
            <w:pPr>
              <w:pStyle w:val="Figure"/>
              <w:spacing w:line="276" w:lineRule="auto"/>
              <w:jc w:val="left"/>
              <w:rPr>
                <w:rFonts w:ascii="Times New Roman" w:hAnsi="Times New Roman" w:cs="Times New Roman"/>
                <w:color w:val="auto"/>
                <w:sz w:val="20"/>
                <w:szCs w:val="20"/>
              </w:rPr>
            </w:pPr>
            <w:r w:rsidRPr="003122A3">
              <w:rPr>
                <w:rFonts w:ascii="Times New Roman" w:hAnsi="Times New Roman" w:cs="Times New Roman"/>
                <w:color w:val="auto"/>
                <w:sz w:val="20"/>
                <w:szCs w:val="20"/>
              </w:rPr>
              <w:t>Total</w:t>
            </w:r>
          </w:p>
        </w:tc>
        <w:tc>
          <w:tcPr>
            <w:tcW w:w="1375" w:type="dxa"/>
            <w:tcBorders>
              <w:left w:val="single" w:sz="4" w:space="0" w:color="auto"/>
              <w:bottom w:val="single" w:sz="4" w:space="0" w:color="auto"/>
            </w:tcBorders>
          </w:tcPr>
          <w:p w:rsidR="002935B7" w:rsidRPr="00F60CE7" w:rsidRDefault="002935B7" w:rsidP="00A104E3">
            <w:pPr>
              <w:pStyle w:val="Figure"/>
              <w:spacing w:line="276" w:lineRule="auto"/>
              <w:jc w:val="center"/>
              <w:cnfStyle w:val="000000100000"/>
              <w:rPr>
                <w:rFonts w:ascii="Times New Roman" w:hAnsi="Times New Roman" w:cs="Times New Roman"/>
                <w:color w:val="auto"/>
                <w:sz w:val="20"/>
                <w:szCs w:val="20"/>
              </w:rPr>
            </w:pPr>
            <w:r w:rsidRPr="00F60CE7">
              <w:rPr>
                <w:rFonts w:ascii="Times New Roman" w:hAnsi="Times New Roman" w:cs="Times New Roman"/>
                <w:color w:val="auto"/>
                <w:sz w:val="20"/>
                <w:szCs w:val="20"/>
              </w:rPr>
              <w:t>360</w:t>
            </w:r>
          </w:p>
        </w:tc>
        <w:tc>
          <w:tcPr>
            <w:tcW w:w="1375" w:type="dxa"/>
            <w:tcBorders>
              <w:bottom w:val="single" w:sz="4" w:space="0" w:color="auto"/>
            </w:tcBorders>
          </w:tcPr>
          <w:p w:rsidR="002935B7" w:rsidRPr="00F60CE7" w:rsidRDefault="002935B7" w:rsidP="00A104E3">
            <w:pPr>
              <w:pStyle w:val="Figure"/>
              <w:spacing w:line="276" w:lineRule="auto"/>
              <w:jc w:val="center"/>
              <w:cnfStyle w:val="000000100000"/>
              <w:rPr>
                <w:rFonts w:ascii="Times New Roman" w:hAnsi="Times New Roman" w:cs="Times New Roman"/>
                <w:color w:val="auto"/>
                <w:sz w:val="20"/>
                <w:szCs w:val="20"/>
              </w:rPr>
            </w:pPr>
            <w:r w:rsidRPr="00F60CE7">
              <w:rPr>
                <w:rFonts w:ascii="Times New Roman" w:hAnsi="Times New Roman" w:cs="Times New Roman"/>
                <w:color w:val="auto"/>
                <w:sz w:val="20"/>
                <w:szCs w:val="20"/>
              </w:rPr>
              <w:t>449</w:t>
            </w:r>
          </w:p>
        </w:tc>
        <w:tc>
          <w:tcPr>
            <w:tcW w:w="1376" w:type="dxa"/>
            <w:tcBorders>
              <w:bottom w:val="single" w:sz="4" w:space="0" w:color="auto"/>
            </w:tcBorders>
          </w:tcPr>
          <w:p w:rsidR="002935B7" w:rsidRPr="00F60CE7" w:rsidRDefault="002935B7" w:rsidP="00A104E3">
            <w:pPr>
              <w:pStyle w:val="Figure"/>
              <w:spacing w:line="276" w:lineRule="auto"/>
              <w:jc w:val="center"/>
              <w:cnfStyle w:val="000000100000"/>
              <w:rPr>
                <w:rFonts w:ascii="Times New Roman" w:hAnsi="Times New Roman" w:cs="Times New Roman"/>
                <w:color w:val="auto"/>
                <w:sz w:val="20"/>
                <w:szCs w:val="20"/>
              </w:rPr>
            </w:pPr>
            <w:r w:rsidRPr="00F60CE7">
              <w:rPr>
                <w:rFonts w:ascii="Times New Roman" w:hAnsi="Times New Roman" w:cs="Times New Roman"/>
                <w:color w:val="auto"/>
                <w:sz w:val="20"/>
                <w:szCs w:val="20"/>
              </w:rPr>
              <w:t>664</w:t>
            </w:r>
          </w:p>
        </w:tc>
        <w:tc>
          <w:tcPr>
            <w:tcW w:w="1376" w:type="dxa"/>
            <w:tcBorders>
              <w:bottom w:val="single" w:sz="4" w:space="0" w:color="auto"/>
            </w:tcBorders>
          </w:tcPr>
          <w:p w:rsidR="002935B7" w:rsidRPr="00F60CE7" w:rsidRDefault="002935B7" w:rsidP="00A104E3">
            <w:pPr>
              <w:pStyle w:val="Figure"/>
              <w:spacing w:line="276" w:lineRule="auto"/>
              <w:jc w:val="center"/>
              <w:cnfStyle w:val="000000100000"/>
              <w:rPr>
                <w:rFonts w:ascii="Times New Roman" w:hAnsi="Times New Roman" w:cs="Times New Roman"/>
                <w:color w:val="auto"/>
                <w:sz w:val="20"/>
                <w:szCs w:val="20"/>
              </w:rPr>
            </w:pPr>
            <w:r w:rsidRPr="00F60CE7">
              <w:rPr>
                <w:rFonts w:ascii="Times New Roman" w:hAnsi="Times New Roman" w:cs="Times New Roman"/>
                <w:color w:val="auto"/>
                <w:sz w:val="20"/>
                <w:szCs w:val="20"/>
              </w:rPr>
              <w:t>1,265</w:t>
            </w:r>
          </w:p>
        </w:tc>
        <w:tc>
          <w:tcPr>
            <w:tcW w:w="1376" w:type="dxa"/>
            <w:tcBorders>
              <w:bottom w:val="single" w:sz="4" w:space="0" w:color="auto"/>
            </w:tcBorders>
          </w:tcPr>
          <w:p w:rsidR="002935B7" w:rsidRPr="00F60CE7" w:rsidRDefault="002935B7" w:rsidP="00A104E3">
            <w:pPr>
              <w:pStyle w:val="Figure"/>
              <w:spacing w:line="276" w:lineRule="auto"/>
              <w:jc w:val="center"/>
              <w:cnfStyle w:val="000000100000"/>
              <w:rPr>
                <w:rFonts w:ascii="Times New Roman" w:hAnsi="Times New Roman" w:cs="Times New Roman"/>
                <w:color w:val="auto"/>
                <w:sz w:val="20"/>
                <w:szCs w:val="20"/>
              </w:rPr>
            </w:pPr>
            <w:r w:rsidRPr="00F60CE7">
              <w:rPr>
                <w:rFonts w:ascii="Times New Roman" w:hAnsi="Times New Roman" w:cs="Times New Roman"/>
                <w:color w:val="auto"/>
                <w:sz w:val="20"/>
                <w:szCs w:val="20"/>
              </w:rPr>
              <w:t>4,247</w:t>
            </w:r>
          </w:p>
        </w:tc>
        <w:tc>
          <w:tcPr>
            <w:tcW w:w="1376" w:type="dxa"/>
            <w:tcBorders>
              <w:bottom w:val="single" w:sz="4" w:space="0" w:color="auto"/>
              <w:right w:val="single" w:sz="4" w:space="0" w:color="auto"/>
            </w:tcBorders>
          </w:tcPr>
          <w:p w:rsidR="002935B7" w:rsidRPr="003122A3" w:rsidRDefault="002935B7" w:rsidP="00A104E3">
            <w:pPr>
              <w:pStyle w:val="Figure"/>
              <w:spacing w:line="276" w:lineRule="auto"/>
              <w:jc w:val="center"/>
              <w:cnfStyle w:val="000000100000"/>
              <w:rPr>
                <w:rFonts w:ascii="Times New Roman" w:hAnsi="Times New Roman" w:cs="Times New Roman"/>
                <w:color w:val="auto"/>
                <w:sz w:val="20"/>
                <w:szCs w:val="20"/>
              </w:rPr>
            </w:pPr>
            <w:r w:rsidRPr="003122A3">
              <w:rPr>
                <w:rFonts w:ascii="Times New Roman" w:hAnsi="Times New Roman" w:cs="Times New Roman"/>
                <w:color w:val="auto"/>
                <w:sz w:val="20"/>
                <w:szCs w:val="20"/>
              </w:rPr>
              <w:t>6,985</w:t>
            </w:r>
          </w:p>
        </w:tc>
      </w:tr>
    </w:tbl>
    <w:p w:rsidR="002935B7" w:rsidRPr="00363A7A" w:rsidRDefault="002935B7" w:rsidP="008E657F">
      <w:pPr>
        <w:jc w:val="both"/>
        <w:rPr>
          <w:rFonts w:ascii="Times New Roman" w:hAnsi="Times New Roman" w:cs="Times New Roman"/>
          <w:sz w:val="18"/>
          <w:szCs w:val="18"/>
          <w:rtl/>
        </w:rPr>
      </w:pPr>
      <w:r w:rsidRPr="00363A7A">
        <w:rPr>
          <w:rFonts w:ascii="Times New Roman" w:hAnsi="Times New Roman" w:cs="Times New Roman"/>
          <w:sz w:val="18"/>
          <w:szCs w:val="18"/>
        </w:rPr>
        <w:t xml:space="preserve">Source: UNICEF 2014, Database of </w:t>
      </w:r>
      <w:proofErr w:type="spellStart"/>
      <w:r w:rsidRPr="00363A7A">
        <w:rPr>
          <w:rFonts w:ascii="Times New Roman" w:hAnsi="Times New Roman" w:cs="Times New Roman"/>
          <w:sz w:val="18"/>
          <w:szCs w:val="18"/>
        </w:rPr>
        <w:t>Chilren</w:t>
      </w:r>
      <w:proofErr w:type="spellEnd"/>
      <w:r w:rsidRPr="00363A7A">
        <w:rPr>
          <w:rFonts w:ascii="Times New Roman" w:hAnsi="Times New Roman" w:cs="Times New Roman"/>
          <w:sz w:val="18"/>
          <w:szCs w:val="18"/>
        </w:rPr>
        <w:t xml:space="preserve"> Harmed in Armed Conflict. Unpublished data</w:t>
      </w:r>
    </w:p>
    <w:p w:rsidR="002935B7" w:rsidRDefault="002935B7" w:rsidP="002A6C9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causes of injury ranges from military action to mines to explosive remnants of war to settlers’ violence to accidents… mainly in Area “c” and Jerusalem, Gaza and Hebron and some West Bank areas. The number of injured children increases by age, particularly among males. There w</w:t>
      </w:r>
      <w:r w:rsidR="00E111E2" w:rsidRPr="003122A3">
        <w:rPr>
          <w:rFonts w:ascii="Times New Roman" w:hAnsi="Times New Roman" w:cs="Times New Roman"/>
          <w:sz w:val="24"/>
          <w:szCs w:val="24"/>
        </w:rPr>
        <w:t>a</w:t>
      </w:r>
      <w:r w:rsidRPr="003122A3">
        <w:rPr>
          <w:rFonts w:ascii="Times New Roman" w:hAnsi="Times New Roman" w:cs="Times New Roman"/>
          <w:sz w:val="24"/>
          <w:szCs w:val="24"/>
        </w:rPr>
        <w:t xml:space="preserve">s an increase in deaths and injuries among civilians, mostly children, because of mines and unexploded remnants of war. </w:t>
      </w:r>
      <w:r w:rsidRPr="003122A3">
        <w:rPr>
          <w:rStyle w:val="FootnoteReference"/>
          <w:rFonts w:ascii="Times New Roman" w:hAnsi="Times New Roman" w:cs="Times New Roman"/>
          <w:sz w:val="24"/>
          <w:szCs w:val="24"/>
        </w:rPr>
        <w:footnoteReference w:id="38"/>
      </w:r>
    </w:p>
    <w:p w:rsidR="002A6C92" w:rsidRPr="003122A3" w:rsidRDefault="002A6C92" w:rsidP="002A6C92">
      <w:pPr>
        <w:spacing w:after="0" w:line="240" w:lineRule="auto"/>
        <w:jc w:val="both"/>
        <w:rPr>
          <w:rFonts w:ascii="Times New Roman" w:hAnsi="Times New Roman" w:cs="Times New Roman"/>
          <w:sz w:val="24"/>
          <w:szCs w:val="24"/>
          <w:rtl/>
        </w:rPr>
      </w:pPr>
    </w:p>
    <w:p w:rsidR="00EA5BE7" w:rsidRPr="003122A3" w:rsidRDefault="002935B7" w:rsidP="009914CC">
      <w:pPr>
        <w:pStyle w:val="Heading2"/>
        <w:ind w:firstLineChars="0" w:firstLine="0"/>
        <w:jc w:val="left"/>
        <w:rPr>
          <w:rFonts w:ascii="Times New Roman" w:hAnsi="Times New Roman" w:cs="Times New Roman"/>
          <w:sz w:val="24"/>
          <w:szCs w:val="24"/>
        </w:rPr>
      </w:pPr>
      <w:bookmarkStart w:id="64" w:name="_Toc420244995"/>
      <w:r w:rsidRPr="003122A3">
        <w:rPr>
          <w:rFonts w:ascii="Times New Roman" w:hAnsi="Times New Roman" w:cs="Times New Roman"/>
          <w:sz w:val="24"/>
          <w:szCs w:val="24"/>
        </w:rPr>
        <w:t>5.2 Child Martyrs</w:t>
      </w:r>
      <w:bookmarkEnd w:id="64"/>
    </w:p>
    <w:p w:rsidR="00A104E3" w:rsidRPr="002A6C92" w:rsidRDefault="00A104E3" w:rsidP="002A6C92">
      <w:pPr>
        <w:spacing w:after="0" w:line="240" w:lineRule="auto"/>
        <w:jc w:val="both"/>
        <w:rPr>
          <w:rFonts w:ascii="Times New Roman" w:hAnsi="Times New Roman" w:cs="Times New Roman"/>
          <w:sz w:val="24"/>
          <w:szCs w:val="24"/>
        </w:rPr>
      </w:pPr>
    </w:p>
    <w:p w:rsidR="002935B7" w:rsidRDefault="002935B7" w:rsidP="002A6C9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Most martyred children were killed as a result of Israeli military action, mines and the remnants of war, especially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and because of settlers’ violence in the West Bank. </w:t>
      </w:r>
      <w:proofErr w:type="spellStart"/>
      <w:r w:rsidRPr="003122A3">
        <w:rPr>
          <w:rFonts w:ascii="Times New Roman" w:hAnsi="Times New Roman" w:cs="Times New Roman"/>
          <w:sz w:val="24"/>
          <w:szCs w:val="24"/>
        </w:rPr>
        <w:t>Indicences</w:t>
      </w:r>
      <w:proofErr w:type="spellEnd"/>
      <w:r w:rsidRPr="003122A3">
        <w:rPr>
          <w:rFonts w:ascii="Times New Roman" w:hAnsi="Times New Roman" w:cs="Times New Roman"/>
          <w:sz w:val="24"/>
          <w:szCs w:val="24"/>
        </w:rPr>
        <w:t xml:space="preserve"> of child killing increased, manly among male children in 2014 compared to previous years. The number of child martyrs doubled in comparison to 2013 as a result of the latest Israeli war on the Gaza Strip.</w:t>
      </w:r>
    </w:p>
    <w:p w:rsidR="002A6C92" w:rsidRPr="003122A3" w:rsidRDefault="002A6C92" w:rsidP="002A6C92">
      <w:pPr>
        <w:spacing w:after="0" w:line="240" w:lineRule="auto"/>
        <w:jc w:val="both"/>
        <w:rPr>
          <w:rFonts w:ascii="Times New Roman" w:hAnsi="Times New Roman" w:cs="Times New Roman"/>
          <w:sz w:val="24"/>
          <w:szCs w:val="24"/>
          <w:rtl/>
        </w:rPr>
      </w:pPr>
    </w:p>
    <w:p w:rsidR="000D7934" w:rsidRPr="003122A3" w:rsidRDefault="000D7934" w:rsidP="00F37013">
      <w:pPr>
        <w:pStyle w:val="Caption"/>
        <w:keepNext/>
        <w:bidi w:val="0"/>
        <w:rPr>
          <w:sz w:val="22"/>
          <w:szCs w:val="22"/>
        </w:rPr>
      </w:pPr>
      <w:bookmarkStart w:id="65" w:name="_Toc420269303"/>
      <w:r w:rsidRPr="003122A3">
        <w:rPr>
          <w:sz w:val="22"/>
          <w:szCs w:val="22"/>
        </w:rPr>
        <w:t>Table</w:t>
      </w:r>
      <w:r w:rsidR="001E6DBF"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5</w:t>
      </w:r>
      <w:r w:rsidR="008F57C8" w:rsidRPr="003122A3">
        <w:rPr>
          <w:sz w:val="22"/>
          <w:szCs w:val="22"/>
          <w:rtl/>
        </w:rPr>
        <w:fldChar w:fldCharType="end"/>
      </w:r>
      <w:r w:rsidRPr="003122A3">
        <w:rPr>
          <w:sz w:val="22"/>
          <w:szCs w:val="22"/>
        </w:rPr>
        <w:t>: Number of Children Martyred by Region, Year and Cause</w:t>
      </w:r>
      <w:bookmarkEnd w:id="65"/>
    </w:p>
    <w:tbl>
      <w:tblPr>
        <w:tblStyle w:val="LightShading-Accent11"/>
        <w:tblW w:w="8555" w:type="dxa"/>
        <w:jc w:val="center"/>
        <w:tblLook w:val="04A0"/>
      </w:tblPr>
      <w:tblGrid>
        <w:gridCol w:w="1728"/>
        <w:gridCol w:w="1701"/>
        <w:gridCol w:w="1156"/>
        <w:gridCol w:w="3970"/>
      </w:tblGrid>
      <w:tr w:rsidR="002935B7" w:rsidRPr="003122A3" w:rsidTr="00BF1212">
        <w:trPr>
          <w:cnfStyle w:val="100000000000"/>
          <w:trHeight w:val="466"/>
          <w:jc w:val="center"/>
        </w:trPr>
        <w:tc>
          <w:tcPr>
            <w:cnfStyle w:val="001000000000"/>
            <w:tcW w:w="1728" w:type="dxa"/>
            <w:tcBorders>
              <w:top w:val="single" w:sz="4" w:space="0" w:color="auto"/>
              <w:left w:val="single" w:sz="4" w:space="0" w:color="auto"/>
              <w:bottom w:val="nil"/>
              <w:right w:val="single" w:sz="4" w:space="0" w:color="auto"/>
            </w:tcBorders>
          </w:tcPr>
          <w:p w:rsidR="002935B7" w:rsidRPr="003122A3" w:rsidRDefault="002935B7" w:rsidP="00224329">
            <w:pPr>
              <w:pStyle w:val="Heading3"/>
              <w:bidi w:val="0"/>
              <w:spacing w:line="276" w:lineRule="auto"/>
              <w:jc w:val="center"/>
              <w:outlineLvl w:val="2"/>
              <w:rPr>
                <w:rFonts w:cs="Times New Roman"/>
                <w:color w:val="auto"/>
              </w:rPr>
            </w:pPr>
            <w:r w:rsidRPr="003122A3">
              <w:rPr>
                <w:rFonts w:cs="Times New Roman"/>
                <w:color w:val="auto"/>
              </w:rPr>
              <w:t>Year</w:t>
            </w:r>
          </w:p>
        </w:tc>
        <w:tc>
          <w:tcPr>
            <w:tcW w:w="1701" w:type="dxa"/>
            <w:tcBorders>
              <w:top w:val="single" w:sz="4" w:space="0" w:color="auto"/>
              <w:left w:val="single" w:sz="4" w:space="0" w:color="auto"/>
              <w:bottom w:val="single" w:sz="4" w:space="0" w:color="auto"/>
              <w:right w:val="single" w:sz="4" w:space="0" w:color="auto"/>
            </w:tcBorders>
          </w:tcPr>
          <w:p w:rsidR="002935B7" w:rsidRPr="003122A3" w:rsidRDefault="002935B7" w:rsidP="00224329">
            <w:pPr>
              <w:pStyle w:val="Heading3"/>
              <w:bidi w:val="0"/>
              <w:spacing w:line="276" w:lineRule="auto"/>
              <w:jc w:val="center"/>
              <w:outlineLvl w:val="2"/>
              <w:cnfStyle w:val="100000000000"/>
              <w:rPr>
                <w:rFonts w:cs="Times New Roman"/>
                <w:color w:val="auto"/>
              </w:rPr>
            </w:pPr>
            <w:r w:rsidRPr="003122A3">
              <w:rPr>
                <w:rFonts w:cs="Times New Roman"/>
                <w:color w:val="auto"/>
              </w:rPr>
              <w:t>Region</w:t>
            </w:r>
          </w:p>
        </w:tc>
        <w:tc>
          <w:tcPr>
            <w:tcW w:w="1156" w:type="dxa"/>
            <w:tcBorders>
              <w:top w:val="single" w:sz="4" w:space="0" w:color="auto"/>
              <w:left w:val="single" w:sz="4" w:space="0" w:color="auto"/>
              <w:bottom w:val="single" w:sz="4" w:space="0" w:color="auto"/>
              <w:right w:val="single" w:sz="4" w:space="0" w:color="auto"/>
            </w:tcBorders>
          </w:tcPr>
          <w:p w:rsidR="002935B7" w:rsidRPr="003122A3" w:rsidRDefault="002935B7" w:rsidP="00F37013">
            <w:pPr>
              <w:pStyle w:val="Heading3"/>
              <w:bidi w:val="0"/>
              <w:spacing w:line="276" w:lineRule="auto"/>
              <w:jc w:val="center"/>
              <w:outlineLvl w:val="2"/>
              <w:cnfStyle w:val="100000000000"/>
              <w:rPr>
                <w:rFonts w:cs="Times New Roman"/>
                <w:color w:val="auto"/>
              </w:rPr>
            </w:pPr>
            <w:r w:rsidRPr="003122A3">
              <w:rPr>
                <w:rFonts w:cs="Times New Roman"/>
                <w:color w:val="auto"/>
              </w:rPr>
              <w:t>N</w:t>
            </w:r>
            <w:r w:rsidR="00F37013">
              <w:rPr>
                <w:rFonts w:cs="Times New Roman"/>
                <w:color w:val="auto"/>
              </w:rPr>
              <w:t>umber</w:t>
            </w:r>
          </w:p>
        </w:tc>
        <w:tc>
          <w:tcPr>
            <w:tcW w:w="3970" w:type="dxa"/>
            <w:tcBorders>
              <w:top w:val="single" w:sz="4" w:space="0" w:color="auto"/>
              <w:left w:val="single" w:sz="4" w:space="0" w:color="auto"/>
              <w:bottom w:val="single" w:sz="4" w:space="0" w:color="auto"/>
              <w:right w:val="single" w:sz="4" w:space="0" w:color="auto"/>
            </w:tcBorders>
          </w:tcPr>
          <w:p w:rsidR="002935B7" w:rsidRPr="003122A3" w:rsidRDefault="002935B7" w:rsidP="00224329">
            <w:pPr>
              <w:pStyle w:val="Heading3"/>
              <w:bidi w:val="0"/>
              <w:spacing w:line="276" w:lineRule="auto"/>
              <w:jc w:val="center"/>
              <w:outlineLvl w:val="2"/>
              <w:cnfStyle w:val="100000000000"/>
              <w:rPr>
                <w:rFonts w:cs="Times New Roman"/>
                <w:color w:val="auto"/>
              </w:rPr>
            </w:pPr>
            <w:r w:rsidRPr="003122A3">
              <w:rPr>
                <w:rFonts w:cs="Times New Roman"/>
                <w:color w:val="auto"/>
              </w:rPr>
              <w:t>Cause</w:t>
            </w:r>
          </w:p>
        </w:tc>
      </w:tr>
      <w:tr w:rsidR="002935B7" w:rsidRPr="003122A3" w:rsidTr="00BF1212">
        <w:trPr>
          <w:cnfStyle w:val="000000100000"/>
          <w:trHeight w:val="457"/>
          <w:jc w:val="center"/>
        </w:trPr>
        <w:tc>
          <w:tcPr>
            <w:cnfStyle w:val="001000000000"/>
            <w:tcW w:w="1728" w:type="dxa"/>
            <w:vMerge w:val="restart"/>
            <w:tcBorders>
              <w:top w:val="single" w:sz="4" w:space="0" w:color="auto"/>
              <w:left w:val="single" w:sz="4" w:space="0" w:color="auto"/>
              <w:bottom w:val="nil"/>
              <w:right w:val="single" w:sz="4" w:space="0" w:color="auto"/>
            </w:tcBorders>
            <w:vAlign w:val="center"/>
          </w:tcPr>
          <w:p w:rsidR="002935B7" w:rsidRPr="00883F93" w:rsidRDefault="002935B7" w:rsidP="00883F93">
            <w:pPr>
              <w:pStyle w:val="Heading3"/>
              <w:bidi w:val="0"/>
              <w:spacing w:line="276" w:lineRule="auto"/>
              <w:jc w:val="center"/>
              <w:outlineLvl w:val="2"/>
              <w:rPr>
                <w:rFonts w:cs="Times New Roman"/>
                <w:b w:val="0"/>
                <w:bCs w:val="0"/>
                <w:color w:val="auto"/>
              </w:rPr>
            </w:pPr>
            <w:r w:rsidRPr="00883F93">
              <w:rPr>
                <w:rFonts w:cs="Times New Roman"/>
                <w:b w:val="0"/>
                <w:bCs w:val="0"/>
                <w:color w:val="auto"/>
              </w:rPr>
              <w:t>2010</w:t>
            </w:r>
          </w:p>
        </w:tc>
        <w:tc>
          <w:tcPr>
            <w:tcW w:w="1701" w:type="dxa"/>
            <w:tcBorders>
              <w:top w:val="single" w:sz="4" w:space="0" w:color="auto"/>
              <w:left w:val="single" w:sz="4" w:space="0" w:color="auto"/>
            </w:tcBorders>
          </w:tcPr>
          <w:p w:rsidR="002935B7" w:rsidRPr="00883F93" w:rsidRDefault="002935B7" w:rsidP="00A104E3">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Gaza Strip</w:t>
            </w:r>
          </w:p>
        </w:tc>
        <w:tc>
          <w:tcPr>
            <w:tcW w:w="1156" w:type="dxa"/>
            <w:tcBorders>
              <w:top w:val="single" w:sz="4" w:space="0" w:color="auto"/>
            </w:tcBorders>
          </w:tcPr>
          <w:p w:rsidR="002935B7" w:rsidRPr="00883F93" w:rsidRDefault="002935B7" w:rsidP="001E6DBF">
            <w:pPr>
              <w:pStyle w:val="Heading3"/>
              <w:bidi w:val="0"/>
              <w:spacing w:line="276" w:lineRule="auto"/>
              <w:jc w:val="center"/>
              <w:outlineLvl w:val="2"/>
              <w:cnfStyle w:val="000000100000"/>
              <w:rPr>
                <w:rFonts w:cs="Times New Roman"/>
                <w:b w:val="0"/>
                <w:bCs w:val="0"/>
                <w:color w:val="auto"/>
              </w:rPr>
            </w:pPr>
            <w:r w:rsidRPr="00883F93">
              <w:rPr>
                <w:rFonts w:cs="Times New Roman"/>
                <w:b w:val="0"/>
                <w:bCs w:val="0"/>
                <w:color w:val="auto"/>
              </w:rPr>
              <w:t>7</w:t>
            </w:r>
          </w:p>
        </w:tc>
        <w:tc>
          <w:tcPr>
            <w:tcW w:w="3970" w:type="dxa"/>
            <w:tcBorders>
              <w:top w:val="single" w:sz="4" w:space="0" w:color="auto"/>
              <w:right w:val="single" w:sz="4" w:space="0" w:color="auto"/>
            </w:tcBorders>
          </w:tcPr>
          <w:p w:rsidR="002935B7" w:rsidRPr="00883F93" w:rsidRDefault="002935B7" w:rsidP="00A104E3">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Mines, explosive remnants of war and military activities</w:t>
            </w:r>
          </w:p>
        </w:tc>
      </w:tr>
      <w:tr w:rsidR="002935B7" w:rsidRPr="003122A3" w:rsidTr="00BF1212">
        <w:trPr>
          <w:trHeight w:val="407"/>
          <w:jc w:val="center"/>
        </w:trPr>
        <w:tc>
          <w:tcPr>
            <w:cnfStyle w:val="001000000000"/>
            <w:tcW w:w="1728" w:type="dxa"/>
            <w:vMerge/>
            <w:tcBorders>
              <w:left w:val="single" w:sz="4" w:space="0" w:color="auto"/>
              <w:bottom w:val="nil"/>
              <w:right w:val="single" w:sz="4" w:space="0" w:color="auto"/>
            </w:tcBorders>
            <w:vAlign w:val="center"/>
          </w:tcPr>
          <w:p w:rsidR="002935B7" w:rsidRPr="00883F93" w:rsidRDefault="002935B7" w:rsidP="00883F93">
            <w:pPr>
              <w:pStyle w:val="Heading3"/>
              <w:bidi w:val="0"/>
              <w:spacing w:line="276" w:lineRule="auto"/>
              <w:jc w:val="center"/>
              <w:outlineLvl w:val="2"/>
              <w:rPr>
                <w:rFonts w:cs="Times New Roman"/>
                <w:b w:val="0"/>
                <w:bCs w:val="0"/>
                <w:color w:val="auto"/>
              </w:rPr>
            </w:pPr>
          </w:p>
        </w:tc>
        <w:tc>
          <w:tcPr>
            <w:tcW w:w="1701" w:type="dxa"/>
            <w:tcBorders>
              <w:left w:val="single" w:sz="4" w:space="0" w:color="auto"/>
            </w:tcBorders>
          </w:tcPr>
          <w:p w:rsidR="002935B7" w:rsidRPr="00883F93" w:rsidRDefault="002935B7" w:rsidP="00A104E3">
            <w:pPr>
              <w:pStyle w:val="Heading3"/>
              <w:bidi w:val="0"/>
              <w:spacing w:line="276" w:lineRule="auto"/>
              <w:outlineLvl w:val="2"/>
              <w:cnfStyle w:val="000000000000"/>
              <w:rPr>
                <w:rFonts w:cs="Times New Roman"/>
                <w:b w:val="0"/>
                <w:bCs w:val="0"/>
                <w:color w:val="auto"/>
              </w:rPr>
            </w:pPr>
            <w:r w:rsidRPr="00883F93">
              <w:rPr>
                <w:rFonts w:cs="Times New Roman"/>
                <w:b w:val="0"/>
                <w:bCs w:val="0"/>
                <w:color w:val="auto"/>
              </w:rPr>
              <w:t>West Bank</w:t>
            </w:r>
          </w:p>
        </w:tc>
        <w:tc>
          <w:tcPr>
            <w:tcW w:w="1156" w:type="dxa"/>
          </w:tcPr>
          <w:p w:rsidR="002935B7" w:rsidRPr="00883F93" w:rsidRDefault="002935B7" w:rsidP="001E6DBF">
            <w:pPr>
              <w:pStyle w:val="Heading3"/>
              <w:bidi w:val="0"/>
              <w:spacing w:line="276" w:lineRule="auto"/>
              <w:jc w:val="center"/>
              <w:outlineLvl w:val="2"/>
              <w:cnfStyle w:val="000000000000"/>
              <w:rPr>
                <w:rFonts w:cs="Times New Roman"/>
                <w:b w:val="0"/>
                <w:bCs w:val="0"/>
                <w:color w:val="auto"/>
              </w:rPr>
            </w:pPr>
            <w:r w:rsidRPr="00883F93">
              <w:rPr>
                <w:rFonts w:cs="Times New Roman"/>
                <w:b w:val="0"/>
                <w:bCs w:val="0"/>
                <w:color w:val="auto"/>
              </w:rPr>
              <w:t>4</w:t>
            </w:r>
          </w:p>
        </w:tc>
        <w:tc>
          <w:tcPr>
            <w:tcW w:w="3970" w:type="dxa"/>
            <w:tcBorders>
              <w:right w:val="single" w:sz="4" w:space="0" w:color="auto"/>
            </w:tcBorders>
          </w:tcPr>
          <w:p w:rsidR="002935B7" w:rsidRPr="00883F93" w:rsidRDefault="002935B7" w:rsidP="00A104E3">
            <w:pPr>
              <w:pStyle w:val="Heading3"/>
              <w:bidi w:val="0"/>
              <w:spacing w:line="276" w:lineRule="auto"/>
              <w:outlineLvl w:val="2"/>
              <w:cnfStyle w:val="000000000000"/>
              <w:rPr>
                <w:rFonts w:cs="Times New Roman"/>
                <w:b w:val="0"/>
                <w:bCs w:val="0"/>
                <w:color w:val="auto"/>
              </w:rPr>
            </w:pPr>
            <w:r w:rsidRPr="00883F93">
              <w:rPr>
                <w:rFonts w:cs="Times New Roman"/>
                <w:b w:val="0"/>
                <w:bCs w:val="0"/>
                <w:color w:val="auto"/>
              </w:rPr>
              <w:t>Settler violence</w:t>
            </w:r>
          </w:p>
        </w:tc>
      </w:tr>
      <w:tr w:rsidR="002935B7" w:rsidRPr="003122A3" w:rsidTr="00BF1212">
        <w:trPr>
          <w:cnfStyle w:val="000000100000"/>
          <w:trHeight w:val="113"/>
          <w:jc w:val="center"/>
        </w:trPr>
        <w:tc>
          <w:tcPr>
            <w:cnfStyle w:val="001000000000"/>
            <w:tcW w:w="1728" w:type="dxa"/>
            <w:vMerge w:val="restart"/>
            <w:tcBorders>
              <w:left w:val="single" w:sz="4" w:space="0" w:color="auto"/>
              <w:bottom w:val="nil"/>
              <w:right w:val="single" w:sz="4" w:space="0" w:color="auto"/>
            </w:tcBorders>
            <w:vAlign w:val="center"/>
          </w:tcPr>
          <w:p w:rsidR="002935B7" w:rsidRPr="00883F93" w:rsidRDefault="002935B7" w:rsidP="00883F93">
            <w:pPr>
              <w:pStyle w:val="Heading3"/>
              <w:bidi w:val="0"/>
              <w:spacing w:line="276" w:lineRule="auto"/>
              <w:jc w:val="center"/>
              <w:outlineLvl w:val="2"/>
              <w:rPr>
                <w:rFonts w:cs="Times New Roman"/>
                <w:b w:val="0"/>
                <w:bCs w:val="0"/>
                <w:color w:val="auto"/>
              </w:rPr>
            </w:pPr>
            <w:r w:rsidRPr="00883F93">
              <w:rPr>
                <w:rFonts w:cs="Times New Roman"/>
                <w:b w:val="0"/>
                <w:bCs w:val="0"/>
                <w:color w:val="auto"/>
              </w:rPr>
              <w:t>2011</w:t>
            </w:r>
          </w:p>
        </w:tc>
        <w:tc>
          <w:tcPr>
            <w:tcW w:w="1701" w:type="dxa"/>
            <w:tcBorders>
              <w:left w:val="single" w:sz="4" w:space="0" w:color="auto"/>
            </w:tcBorders>
          </w:tcPr>
          <w:p w:rsidR="002935B7" w:rsidRPr="00883F93" w:rsidRDefault="002935B7" w:rsidP="00A104E3">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Gaza Strip</w:t>
            </w:r>
          </w:p>
        </w:tc>
        <w:tc>
          <w:tcPr>
            <w:tcW w:w="1156" w:type="dxa"/>
          </w:tcPr>
          <w:p w:rsidR="002935B7" w:rsidRPr="00883F93" w:rsidRDefault="002935B7" w:rsidP="001E6DBF">
            <w:pPr>
              <w:pStyle w:val="Heading3"/>
              <w:bidi w:val="0"/>
              <w:spacing w:line="276" w:lineRule="auto"/>
              <w:jc w:val="center"/>
              <w:outlineLvl w:val="2"/>
              <w:cnfStyle w:val="000000100000"/>
              <w:rPr>
                <w:rFonts w:cs="Times New Roman"/>
                <w:b w:val="0"/>
                <w:bCs w:val="0"/>
                <w:color w:val="auto"/>
              </w:rPr>
            </w:pPr>
            <w:r w:rsidRPr="00883F93">
              <w:rPr>
                <w:rFonts w:cs="Times New Roman"/>
                <w:b w:val="0"/>
                <w:bCs w:val="0"/>
                <w:color w:val="auto"/>
              </w:rPr>
              <w:t>18</w:t>
            </w:r>
          </w:p>
        </w:tc>
        <w:tc>
          <w:tcPr>
            <w:tcW w:w="3970" w:type="dxa"/>
            <w:tcBorders>
              <w:right w:val="single" w:sz="4" w:space="0" w:color="auto"/>
            </w:tcBorders>
          </w:tcPr>
          <w:p w:rsidR="002935B7" w:rsidRPr="00883F93" w:rsidRDefault="002935B7" w:rsidP="00A104E3">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Mines, explosive remnants of war and military activities</w:t>
            </w:r>
          </w:p>
        </w:tc>
      </w:tr>
      <w:tr w:rsidR="002935B7" w:rsidRPr="003122A3" w:rsidTr="00BF1212">
        <w:trPr>
          <w:trHeight w:val="419"/>
          <w:jc w:val="center"/>
        </w:trPr>
        <w:tc>
          <w:tcPr>
            <w:cnfStyle w:val="001000000000"/>
            <w:tcW w:w="1728" w:type="dxa"/>
            <w:vMerge/>
            <w:tcBorders>
              <w:left w:val="single" w:sz="4" w:space="0" w:color="auto"/>
              <w:bottom w:val="nil"/>
              <w:right w:val="single" w:sz="4" w:space="0" w:color="auto"/>
            </w:tcBorders>
            <w:vAlign w:val="center"/>
          </w:tcPr>
          <w:p w:rsidR="002935B7" w:rsidRPr="00883F93" w:rsidRDefault="002935B7" w:rsidP="00883F93">
            <w:pPr>
              <w:pStyle w:val="Heading3"/>
              <w:bidi w:val="0"/>
              <w:spacing w:line="276" w:lineRule="auto"/>
              <w:jc w:val="center"/>
              <w:outlineLvl w:val="2"/>
              <w:rPr>
                <w:rFonts w:cs="Times New Roman"/>
                <w:b w:val="0"/>
                <w:bCs w:val="0"/>
                <w:color w:val="auto"/>
              </w:rPr>
            </w:pPr>
          </w:p>
        </w:tc>
        <w:tc>
          <w:tcPr>
            <w:tcW w:w="1701" w:type="dxa"/>
            <w:tcBorders>
              <w:left w:val="single" w:sz="4" w:space="0" w:color="auto"/>
            </w:tcBorders>
          </w:tcPr>
          <w:p w:rsidR="002935B7" w:rsidRPr="00883F93" w:rsidRDefault="002935B7" w:rsidP="00A104E3">
            <w:pPr>
              <w:pStyle w:val="Heading3"/>
              <w:bidi w:val="0"/>
              <w:spacing w:line="276" w:lineRule="auto"/>
              <w:outlineLvl w:val="2"/>
              <w:cnfStyle w:val="000000000000"/>
              <w:rPr>
                <w:rFonts w:cs="Times New Roman"/>
                <w:b w:val="0"/>
                <w:bCs w:val="0"/>
                <w:color w:val="auto"/>
              </w:rPr>
            </w:pPr>
            <w:r w:rsidRPr="00883F93">
              <w:rPr>
                <w:rFonts w:cs="Times New Roman"/>
                <w:b w:val="0"/>
                <w:bCs w:val="0"/>
                <w:color w:val="auto"/>
              </w:rPr>
              <w:t>West Bank</w:t>
            </w:r>
          </w:p>
        </w:tc>
        <w:tc>
          <w:tcPr>
            <w:tcW w:w="1156" w:type="dxa"/>
          </w:tcPr>
          <w:p w:rsidR="002935B7" w:rsidRPr="00883F93" w:rsidRDefault="002935B7" w:rsidP="001E6DBF">
            <w:pPr>
              <w:pStyle w:val="Heading3"/>
              <w:bidi w:val="0"/>
              <w:spacing w:line="276" w:lineRule="auto"/>
              <w:jc w:val="center"/>
              <w:outlineLvl w:val="2"/>
              <w:cnfStyle w:val="000000000000"/>
              <w:rPr>
                <w:rFonts w:cs="Times New Roman"/>
                <w:b w:val="0"/>
                <w:bCs w:val="0"/>
                <w:color w:val="auto"/>
              </w:rPr>
            </w:pPr>
            <w:r w:rsidRPr="00883F93">
              <w:rPr>
                <w:rFonts w:cs="Times New Roman"/>
                <w:b w:val="0"/>
                <w:bCs w:val="0"/>
                <w:color w:val="auto"/>
              </w:rPr>
              <w:t>2</w:t>
            </w:r>
          </w:p>
        </w:tc>
        <w:tc>
          <w:tcPr>
            <w:tcW w:w="3970" w:type="dxa"/>
            <w:tcBorders>
              <w:right w:val="single" w:sz="4" w:space="0" w:color="auto"/>
            </w:tcBorders>
          </w:tcPr>
          <w:p w:rsidR="002935B7" w:rsidRPr="00883F93" w:rsidRDefault="002935B7" w:rsidP="00A104E3">
            <w:pPr>
              <w:pStyle w:val="Heading3"/>
              <w:bidi w:val="0"/>
              <w:spacing w:line="276" w:lineRule="auto"/>
              <w:outlineLvl w:val="2"/>
              <w:cnfStyle w:val="000000000000"/>
              <w:rPr>
                <w:rFonts w:cs="Times New Roman"/>
                <w:b w:val="0"/>
                <w:bCs w:val="0"/>
                <w:color w:val="auto"/>
              </w:rPr>
            </w:pPr>
            <w:r w:rsidRPr="00883F93">
              <w:rPr>
                <w:rFonts w:cs="Times New Roman"/>
                <w:b w:val="0"/>
                <w:bCs w:val="0"/>
                <w:color w:val="auto"/>
              </w:rPr>
              <w:t>Settler violence</w:t>
            </w:r>
          </w:p>
        </w:tc>
      </w:tr>
      <w:tr w:rsidR="00224329" w:rsidRPr="003122A3" w:rsidTr="00BF1212">
        <w:trPr>
          <w:cnfStyle w:val="000000100000"/>
          <w:trHeight w:val="419"/>
          <w:jc w:val="center"/>
        </w:trPr>
        <w:tc>
          <w:tcPr>
            <w:cnfStyle w:val="001000000000"/>
            <w:tcW w:w="1728" w:type="dxa"/>
            <w:vMerge w:val="restart"/>
            <w:tcBorders>
              <w:left w:val="single" w:sz="4" w:space="0" w:color="auto"/>
              <w:bottom w:val="nil"/>
              <w:right w:val="single" w:sz="4" w:space="0" w:color="auto"/>
            </w:tcBorders>
            <w:vAlign w:val="center"/>
          </w:tcPr>
          <w:p w:rsidR="00224329" w:rsidRPr="00883F93" w:rsidRDefault="00224329" w:rsidP="00883F93">
            <w:pPr>
              <w:pStyle w:val="Heading3"/>
              <w:bidi w:val="0"/>
              <w:spacing w:line="276" w:lineRule="auto"/>
              <w:jc w:val="center"/>
              <w:outlineLvl w:val="2"/>
              <w:rPr>
                <w:rFonts w:cs="Times New Roman"/>
                <w:b w:val="0"/>
                <w:bCs w:val="0"/>
                <w:color w:val="auto"/>
              </w:rPr>
            </w:pPr>
            <w:r w:rsidRPr="00883F93">
              <w:rPr>
                <w:rFonts w:cs="Times New Roman"/>
                <w:b w:val="0"/>
                <w:bCs w:val="0"/>
                <w:color w:val="auto"/>
              </w:rPr>
              <w:t>2012</w:t>
            </w:r>
          </w:p>
        </w:tc>
        <w:tc>
          <w:tcPr>
            <w:tcW w:w="1701" w:type="dxa"/>
            <w:tcBorders>
              <w:left w:val="single" w:sz="4" w:space="0" w:color="auto"/>
            </w:tcBorders>
          </w:tcPr>
          <w:p w:rsidR="00224329" w:rsidRPr="00883F93" w:rsidRDefault="00224329" w:rsidP="000A5D11">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Gaza Strip</w:t>
            </w:r>
          </w:p>
        </w:tc>
        <w:tc>
          <w:tcPr>
            <w:tcW w:w="1156" w:type="dxa"/>
          </w:tcPr>
          <w:p w:rsidR="00224329" w:rsidRPr="00883F93" w:rsidRDefault="00224329" w:rsidP="000A5D11">
            <w:pPr>
              <w:pStyle w:val="Heading3"/>
              <w:bidi w:val="0"/>
              <w:spacing w:line="276" w:lineRule="auto"/>
              <w:jc w:val="center"/>
              <w:outlineLvl w:val="2"/>
              <w:cnfStyle w:val="000000100000"/>
              <w:rPr>
                <w:rFonts w:cs="Times New Roman"/>
                <w:b w:val="0"/>
                <w:bCs w:val="0"/>
                <w:color w:val="auto"/>
              </w:rPr>
            </w:pPr>
            <w:r w:rsidRPr="00883F93">
              <w:rPr>
                <w:rFonts w:cs="Times New Roman"/>
                <w:b w:val="0"/>
                <w:bCs w:val="0"/>
                <w:color w:val="auto"/>
              </w:rPr>
              <w:t>46</w:t>
            </w:r>
          </w:p>
        </w:tc>
        <w:tc>
          <w:tcPr>
            <w:tcW w:w="3970" w:type="dxa"/>
            <w:vMerge w:val="restart"/>
            <w:tcBorders>
              <w:right w:val="single" w:sz="4" w:space="0" w:color="auto"/>
            </w:tcBorders>
          </w:tcPr>
          <w:p w:rsidR="00224329" w:rsidRPr="00883F93" w:rsidRDefault="00224329" w:rsidP="001E6DBF">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Mines, explosive remnants of war and military activities</w:t>
            </w:r>
          </w:p>
          <w:p w:rsidR="00224329" w:rsidRPr="00883F93" w:rsidRDefault="00224329" w:rsidP="00A104E3">
            <w:pPr>
              <w:pStyle w:val="Heading3"/>
              <w:bidi w:val="0"/>
              <w:spacing w:line="276" w:lineRule="auto"/>
              <w:outlineLvl w:val="2"/>
              <w:cnfStyle w:val="000000100000"/>
              <w:rPr>
                <w:rFonts w:cs="Times New Roman"/>
                <w:b w:val="0"/>
                <w:bCs w:val="0"/>
                <w:color w:val="auto"/>
              </w:rPr>
            </w:pPr>
          </w:p>
        </w:tc>
      </w:tr>
      <w:tr w:rsidR="00224329" w:rsidRPr="003122A3" w:rsidTr="00BF1212">
        <w:trPr>
          <w:trHeight w:val="419"/>
          <w:jc w:val="center"/>
        </w:trPr>
        <w:tc>
          <w:tcPr>
            <w:cnfStyle w:val="001000000000"/>
            <w:tcW w:w="1728" w:type="dxa"/>
            <w:vMerge/>
            <w:tcBorders>
              <w:left w:val="single" w:sz="4" w:space="0" w:color="auto"/>
              <w:bottom w:val="nil"/>
              <w:right w:val="single" w:sz="4" w:space="0" w:color="auto"/>
            </w:tcBorders>
            <w:vAlign w:val="center"/>
          </w:tcPr>
          <w:p w:rsidR="00224329" w:rsidRPr="00883F93" w:rsidRDefault="00224329" w:rsidP="00883F93">
            <w:pPr>
              <w:pStyle w:val="Heading3"/>
              <w:bidi w:val="0"/>
              <w:spacing w:line="276" w:lineRule="auto"/>
              <w:jc w:val="center"/>
              <w:outlineLvl w:val="2"/>
              <w:rPr>
                <w:rFonts w:cs="Times New Roman"/>
                <w:b w:val="0"/>
                <w:bCs w:val="0"/>
                <w:color w:val="auto"/>
              </w:rPr>
            </w:pPr>
          </w:p>
        </w:tc>
        <w:tc>
          <w:tcPr>
            <w:tcW w:w="1701" w:type="dxa"/>
            <w:tcBorders>
              <w:left w:val="single" w:sz="4" w:space="0" w:color="auto"/>
            </w:tcBorders>
          </w:tcPr>
          <w:p w:rsidR="00224329" w:rsidRPr="00883F93" w:rsidRDefault="00224329" w:rsidP="000A5D11">
            <w:pPr>
              <w:pStyle w:val="Heading3"/>
              <w:bidi w:val="0"/>
              <w:spacing w:line="276" w:lineRule="auto"/>
              <w:outlineLvl w:val="2"/>
              <w:cnfStyle w:val="000000000000"/>
              <w:rPr>
                <w:rFonts w:cs="Times New Roman"/>
                <w:b w:val="0"/>
                <w:bCs w:val="0"/>
                <w:color w:val="auto"/>
              </w:rPr>
            </w:pPr>
            <w:r w:rsidRPr="00883F93">
              <w:rPr>
                <w:rFonts w:cs="Times New Roman"/>
                <w:b w:val="0"/>
                <w:bCs w:val="0"/>
                <w:color w:val="auto"/>
              </w:rPr>
              <w:t>West Bank</w:t>
            </w:r>
          </w:p>
        </w:tc>
        <w:tc>
          <w:tcPr>
            <w:tcW w:w="1156" w:type="dxa"/>
          </w:tcPr>
          <w:p w:rsidR="00224329" w:rsidRPr="00883F93" w:rsidRDefault="00224329" w:rsidP="000A5D11">
            <w:pPr>
              <w:pStyle w:val="Heading3"/>
              <w:bidi w:val="0"/>
              <w:spacing w:line="276" w:lineRule="auto"/>
              <w:jc w:val="center"/>
              <w:outlineLvl w:val="2"/>
              <w:cnfStyle w:val="000000000000"/>
              <w:rPr>
                <w:rFonts w:cs="Times New Roman"/>
                <w:b w:val="0"/>
                <w:bCs w:val="0"/>
                <w:color w:val="auto"/>
              </w:rPr>
            </w:pPr>
            <w:r w:rsidRPr="00883F93">
              <w:rPr>
                <w:rFonts w:cs="Times New Roman"/>
                <w:b w:val="0"/>
                <w:bCs w:val="0"/>
                <w:color w:val="auto"/>
              </w:rPr>
              <w:t>4</w:t>
            </w:r>
          </w:p>
        </w:tc>
        <w:tc>
          <w:tcPr>
            <w:tcW w:w="3970" w:type="dxa"/>
            <w:vMerge/>
            <w:tcBorders>
              <w:right w:val="single" w:sz="4" w:space="0" w:color="auto"/>
            </w:tcBorders>
          </w:tcPr>
          <w:p w:rsidR="00224329" w:rsidRPr="00883F93" w:rsidRDefault="00224329" w:rsidP="00A104E3">
            <w:pPr>
              <w:pStyle w:val="Heading3"/>
              <w:bidi w:val="0"/>
              <w:spacing w:line="276" w:lineRule="auto"/>
              <w:outlineLvl w:val="2"/>
              <w:cnfStyle w:val="000000000000"/>
              <w:rPr>
                <w:rFonts w:cs="Times New Roman"/>
                <w:b w:val="0"/>
                <w:bCs w:val="0"/>
                <w:color w:val="auto"/>
              </w:rPr>
            </w:pPr>
          </w:p>
        </w:tc>
      </w:tr>
      <w:tr w:rsidR="00224329" w:rsidRPr="003122A3" w:rsidTr="00BF1212">
        <w:trPr>
          <w:cnfStyle w:val="000000100000"/>
          <w:trHeight w:val="419"/>
          <w:jc w:val="center"/>
        </w:trPr>
        <w:tc>
          <w:tcPr>
            <w:cnfStyle w:val="001000000000"/>
            <w:tcW w:w="1728" w:type="dxa"/>
            <w:vMerge w:val="restart"/>
            <w:tcBorders>
              <w:left w:val="single" w:sz="4" w:space="0" w:color="auto"/>
              <w:bottom w:val="nil"/>
              <w:right w:val="single" w:sz="4" w:space="0" w:color="auto"/>
            </w:tcBorders>
            <w:vAlign w:val="center"/>
          </w:tcPr>
          <w:p w:rsidR="00224329" w:rsidRPr="00883F93" w:rsidRDefault="00224329" w:rsidP="00883F93">
            <w:pPr>
              <w:pStyle w:val="Heading3"/>
              <w:bidi w:val="0"/>
              <w:spacing w:line="276" w:lineRule="auto"/>
              <w:jc w:val="center"/>
              <w:outlineLvl w:val="2"/>
              <w:rPr>
                <w:rFonts w:cs="Times New Roman"/>
                <w:b w:val="0"/>
                <w:bCs w:val="0"/>
                <w:color w:val="auto"/>
              </w:rPr>
            </w:pPr>
            <w:r w:rsidRPr="00883F93">
              <w:rPr>
                <w:rFonts w:cs="Times New Roman"/>
                <w:b w:val="0"/>
                <w:bCs w:val="0"/>
                <w:color w:val="auto"/>
              </w:rPr>
              <w:t>2013</w:t>
            </w:r>
          </w:p>
        </w:tc>
        <w:tc>
          <w:tcPr>
            <w:tcW w:w="1701" w:type="dxa"/>
            <w:tcBorders>
              <w:left w:val="single" w:sz="4" w:space="0" w:color="auto"/>
            </w:tcBorders>
          </w:tcPr>
          <w:p w:rsidR="00224329" w:rsidRPr="00883F93" w:rsidRDefault="00224329" w:rsidP="000A5D11">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Gaza Strip</w:t>
            </w:r>
          </w:p>
        </w:tc>
        <w:tc>
          <w:tcPr>
            <w:tcW w:w="1156" w:type="dxa"/>
          </w:tcPr>
          <w:p w:rsidR="00224329" w:rsidRPr="00883F93" w:rsidRDefault="00224329" w:rsidP="000A5D11">
            <w:pPr>
              <w:pStyle w:val="Heading3"/>
              <w:bidi w:val="0"/>
              <w:spacing w:line="276" w:lineRule="auto"/>
              <w:jc w:val="center"/>
              <w:outlineLvl w:val="2"/>
              <w:cnfStyle w:val="000000100000"/>
              <w:rPr>
                <w:rFonts w:cs="Times New Roman"/>
                <w:b w:val="0"/>
                <w:bCs w:val="0"/>
                <w:color w:val="auto"/>
              </w:rPr>
            </w:pPr>
            <w:r w:rsidRPr="00883F93">
              <w:rPr>
                <w:rFonts w:cs="Times New Roman"/>
                <w:b w:val="0"/>
                <w:bCs w:val="0"/>
                <w:color w:val="auto"/>
              </w:rPr>
              <w:t>4</w:t>
            </w:r>
          </w:p>
        </w:tc>
        <w:tc>
          <w:tcPr>
            <w:tcW w:w="3970" w:type="dxa"/>
            <w:tcBorders>
              <w:right w:val="single" w:sz="4" w:space="0" w:color="auto"/>
            </w:tcBorders>
          </w:tcPr>
          <w:p w:rsidR="00224329" w:rsidRPr="00883F93" w:rsidRDefault="00224329" w:rsidP="00A104E3">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Mines, explosive remnants of war, military action and armed groups</w:t>
            </w:r>
          </w:p>
        </w:tc>
      </w:tr>
      <w:tr w:rsidR="00224329" w:rsidRPr="003122A3" w:rsidTr="00F60CE7">
        <w:trPr>
          <w:trHeight w:val="419"/>
          <w:jc w:val="center"/>
        </w:trPr>
        <w:tc>
          <w:tcPr>
            <w:cnfStyle w:val="001000000000"/>
            <w:tcW w:w="1728" w:type="dxa"/>
            <w:vMerge/>
            <w:tcBorders>
              <w:left w:val="single" w:sz="4" w:space="0" w:color="auto"/>
              <w:bottom w:val="nil"/>
              <w:right w:val="single" w:sz="4" w:space="0" w:color="auto"/>
            </w:tcBorders>
            <w:vAlign w:val="center"/>
          </w:tcPr>
          <w:p w:rsidR="00224329" w:rsidRPr="00883F93" w:rsidRDefault="00224329" w:rsidP="00883F93">
            <w:pPr>
              <w:pStyle w:val="Heading3"/>
              <w:bidi w:val="0"/>
              <w:spacing w:line="276" w:lineRule="auto"/>
              <w:jc w:val="center"/>
              <w:outlineLvl w:val="2"/>
              <w:rPr>
                <w:rFonts w:cs="Times New Roman"/>
                <w:b w:val="0"/>
                <w:bCs w:val="0"/>
                <w:color w:val="auto"/>
              </w:rPr>
            </w:pPr>
          </w:p>
        </w:tc>
        <w:tc>
          <w:tcPr>
            <w:tcW w:w="1701" w:type="dxa"/>
            <w:tcBorders>
              <w:left w:val="single" w:sz="4" w:space="0" w:color="auto"/>
            </w:tcBorders>
          </w:tcPr>
          <w:p w:rsidR="00224329" w:rsidRPr="00883F93" w:rsidRDefault="00224329" w:rsidP="000A5D11">
            <w:pPr>
              <w:pStyle w:val="Heading3"/>
              <w:bidi w:val="0"/>
              <w:spacing w:line="276" w:lineRule="auto"/>
              <w:outlineLvl w:val="2"/>
              <w:cnfStyle w:val="000000000000"/>
              <w:rPr>
                <w:rFonts w:cs="Times New Roman"/>
                <w:b w:val="0"/>
                <w:bCs w:val="0"/>
                <w:color w:val="auto"/>
              </w:rPr>
            </w:pPr>
            <w:r w:rsidRPr="00883F93">
              <w:rPr>
                <w:rFonts w:cs="Times New Roman"/>
                <w:b w:val="0"/>
                <w:bCs w:val="0"/>
                <w:color w:val="auto"/>
              </w:rPr>
              <w:t>West Bank</w:t>
            </w:r>
          </w:p>
        </w:tc>
        <w:tc>
          <w:tcPr>
            <w:tcW w:w="1156" w:type="dxa"/>
          </w:tcPr>
          <w:p w:rsidR="00224329" w:rsidRPr="00883F93" w:rsidRDefault="00224329" w:rsidP="000A5D11">
            <w:pPr>
              <w:pStyle w:val="Heading3"/>
              <w:bidi w:val="0"/>
              <w:spacing w:line="276" w:lineRule="auto"/>
              <w:jc w:val="center"/>
              <w:outlineLvl w:val="2"/>
              <w:cnfStyle w:val="000000000000"/>
              <w:rPr>
                <w:rFonts w:cs="Times New Roman"/>
                <w:b w:val="0"/>
                <w:bCs w:val="0"/>
                <w:color w:val="auto"/>
              </w:rPr>
            </w:pPr>
            <w:r w:rsidRPr="00883F93">
              <w:rPr>
                <w:rFonts w:cs="Times New Roman"/>
                <w:b w:val="0"/>
                <w:bCs w:val="0"/>
                <w:color w:val="auto"/>
              </w:rPr>
              <w:t>4</w:t>
            </w:r>
          </w:p>
        </w:tc>
        <w:tc>
          <w:tcPr>
            <w:tcW w:w="3970" w:type="dxa"/>
            <w:tcBorders>
              <w:right w:val="single" w:sz="4" w:space="0" w:color="auto"/>
            </w:tcBorders>
          </w:tcPr>
          <w:p w:rsidR="00224329" w:rsidRPr="00883F93" w:rsidRDefault="00224329" w:rsidP="000A5D11">
            <w:pPr>
              <w:pStyle w:val="Heading3"/>
              <w:bidi w:val="0"/>
              <w:spacing w:line="276" w:lineRule="auto"/>
              <w:outlineLvl w:val="2"/>
              <w:cnfStyle w:val="000000000000"/>
              <w:rPr>
                <w:rFonts w:cs="Times New Roman"/>
                <w:b w:val="0"/>
                <w:bCs w:val="0"/>
                <w:color w:val="auto"/>
              </w:rPr>
            </w:pPr>
            <w:r w:rsidRPr="00883F93">
              <w:rPr>
                <w:rFonts w:cs="Times New Roman"/>
                <w:b w:val="0"/>
                <w:bCs w:val="0"/>
                <w:color w:val="auto"/>
              </w:rPr>
              <w:t>Settler violence and military action</w:t>
            </w:r>
          </w:p>
        </w:tc>
      </w:tr>
      <w:tr w:rsidR="00224329" w:rsidRPr="003122A3" w:rsidTr="00F60CE7">
        <w:trPr>
          <w:cnfStyle w:val="000000100000"/>
          <w:trHeight w:val="419"/>
          <w:jc w:val="center"/>
        </w:trPr>
        <w:tc>
          <w:tcPr>
            <w:cnfStyle w:val="001000000000"/>
            <w:tcW w:w="1728" w:type="dxa"/>
            <w:vMerge w:val="restart"/>
            <w:tcBorders>
              <w:top w:val="nil"/>
              <w:left w:val="single" w:sz="4" w:space="0" w:color="auto"/>
              <w:bottom w:val="single" w:sz="4" w:space="0" w:color="auto"/>
              <w:right w:val="single" w:sz="4" w:space="0" w:color="auto"/>
            </w:tcBorders>
            <w:vAlign w:val="center"/>
          </w:tcPr>
          <w:p w:rsidR="00224329" w:rsidRPr="00883F93" w:rsidRDefault="00224329" w:rsidP="00883F93">
            <w:pPr>
              <w:pStyle w:val="Heading3"/>
              <w:bidi w:val="0"/>
              <w:spacing w:line="276" w:lineRule="auto"/>
              <w:jc w:val="center"/>
              <w:outlineLvl w:val="2"/>
              <w:rPr>
                <w:rFonts w:cs="Times New Roman"/>
                <w:b w:val="0"/>
                <w:bCs w:val="0"/>
                <w:color w:val="auto"/>
              </w:rPr>
            </w:pPr>
            <w:r w:rsidRPr="00883F93">
              <w:rPr>
                <w:rFonts w:cs="Times New Roman"/>
                <w:b w:val="0"/>
                <w:bCs w:val="0"/>
                <w:color w:val="auto"/>
              </w:rPr>
              <w:t>2014</w:t>
            </w:r>
          </w:p>
        </w:tc>
        <w:tc>
          <w:tcPr>
            <w:tcW w:w="1701" w:type="dxa"/>
            <w:tcBorders>
              <w:left w:val="single" w:sz="4" w:space="0" w:color="auto"/>
            </w:tcBorders>
          </w:tcPr>
          <w:p w:rsidR="00224329" w:rsidRPr="00883F93" w:rsidRDefault="00224329" w:rsidP="000A5D11">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Gaza Strip</w:t>
            </w:r>
          </w:p>
        </w:tc>
        <w:tc>
          <w:tcPr>
            <w:tcW w:w="1156" w:type="dxa"/>
          </w:tcPr>
          <w:p w:rsidR="00224329" w:rsidRPr="00883F93" w:rsidRDefault="00224329" w:rsidP="000A5D11">
            <w:pPr>
              <w:pStyle w:val="Heading3"/>
              <w:bidi w:val="0"/>
              <w:spacing w:line="276" w:lineRule="auto"/>
              <w:jc w:val="center"/>
              <w:outlineLvl w:val="2"/>
              <w:cnfStyle w:val="000000100000"/>
              <w:rPr>
                <w:rFonts w:cs="Times New Roman"/>
                <w:b w:val="0"/>
                <w:bCs w:val="0"/>
                <w:color w:val="auto"/>
              </w:rPr>
            </w:pPr>
            <w:r w:rsidRPr="00883F93">
              <w:rPr>
                <w:rFonts w:cs="Times New Roman"/>
                <w:b w:val="0"/>
                <w:bCs w:val="0"/>
                <w:color w:val="auto"/>
              </w:rPr>
              <w:t>544</w:t>
            </w:r>
          </w:p>
        </w:tc>
        <w:tc>
          <w:tcPr>
            <w:tcW w:w="3970" w:type="dxa"/>
            <w:tcBorders>
              <w:right w:val="single" w:sz="4" w:space="0" w:color="auto"/>
            </w:tcBorders>
          </w:tcPr>
          <w:p w:rsidR="00224329" w:rsidRPr="00883F93" w:rsidRDefault="00224329" w:rsidP="00A104E3">
            <w:pPr>
              <w:pStyle w:val="Heading3"/>
              <w:bidi w:val="0"/>
              <w:spacing w:line="276" w:lineRule="auto"/>
              <w:outlineLvl w:val="2"/>
              <w:cnfStyle w:val="000000100000"/>
              <w:rPr>
                <w:rFonts w:cs="Times New Roman"/>
                <w:b w:val="0"/>
                <w:bCs w:val="0"/>
                <w:color w:val="auto"/>
              </w:rPr>
            </w:pPr>
            <w:r w:rsidRPr="00883F93">
              <w:rPr>
                <w:rFonts w:cs="Times New Roman"/>
                <w:b w:val="0"/>
                <w:bCs w:val="0"/>
                <w:color w:val="auto"/>
              </w:rPr>
              <w:t>540 in reason of the last war on Gaza and the other 40 because of mines and war remnants</w:t>
            </w:r>
          </w:p>
        </w:tc>
      </w:tr>
      <w:tr w:rsidR="00224329" w:rsidRPr="003122A3" w:rsidTr="00F60CE7">
        <w:trPr>
          <w:trHeight w:val="419"/>
          <w:jc w:val="center"/>
        </w:trPr>
        <w:tc>
          <w:tcPr>
            <w:cnfStyle w:val="001000000000"/>
            <w:tcW w:w="1728" w:type="dxa"/>
            <w:vMerge/>
            <w:tcBorders>
              <w:top w:val="nil"/>
              <w:left w:val="single" w:sz="4" w:space="0" w:color="auto"/>
              <w:bottom w:val="single" w:sz="4" w:space="0" w:color="auto"/>
              <w:right w:val="single" w:sz="4" w:space="0" w:color="auto"/>
            </w:tcBorders>
          </w:tcPr>
          <w:p w:rsidR="00224329" w:rsidRPr="003122A3" w:rsidRDefault="00224329" w:rsidP="00A104E3">
            <w:pPr>
              <w:pStyle w:val="Heading3"/>
              <w:bidi w:val="0"/>
              <w:spacing w:line="276" w:lineRule="auto"/>
              <w:outlineLvl w:val="2"/>
              <w:rPr>
                <w:rFonts w:cs="Times New Roman"/>
                <w:color w:val="auto"/>
              </w:rPr>
            </w:pPr>
          </w:p>
        </w:tc>
        <w:tc>
          <w:tcPr>
            <w:tcW w:w="1701" w:type="dxa"/>
            <w:tcBorders>
              <w:left w:val="single" w:sz="4" w:space="0" w:color="auto"/>
              <w:bottom w:val="single" w:sz="4" w:space="0" w:color="auto"/>
            </w:tcBorders>
          </w:tcPr>
          <w:p w:rsidR="00224329" w:rsidRPr="00883F93" w:rsidRDefault="00224329" w:rsidP="000A5D11">
            <w:pPr>
              <w:pStyle w:val="Heading3"/>
              <w:bidi w:val="0"/>
              <w:spacing w:line="276" w:lineRule="auto"/>
              <w:outlineLvl w:val="2"/>
              <w:cnfStyle w:val="000000000000"/>
              <w:rPr>
                <w:rFonts w:cs="Times New Roman"/>
                <w:b w:val="0"/>
                <w:bCs w:val="0"/>
                <w:color w:val="auto"/>
              </w:rPr>
            </w:pPr>
            <w:r w:rsidRPr="00883F93">
              <w:rPr>
                <w:rFonts w:cs="Times New Roman"/>
                <w:b w:val="0"/>
                <w:bCs w:val="0"/>
                <w:color w:val="auto"/>
              </w:rPr>
              <w:t>West Bank</w:t>
            </w:r>
          </w:p>
        </w:tc>
        <w:tc>
          <w:tcPr>
            <w:tcW w:w="1156" w:type="dxa"/>
            <w:tcBorders>
              <w:bottom w:val="single" w:sz="4" w:space="0" w:color="auto"/>
            </w:tcBorders>
          </w:tcPr>
          <w:p w:rsidR="00224329" w:rsidRPr="00883F93" w:rsidRDefault="00224329" w:rsidP="000A5D11">
            <w:pPr>
              <w:pStyle w:val="Heading3"/>
              <w:bidi w:val="0"/>
              <w:spacing w:line="276" w:lineRule="auto"/>
              <w:jc w:val="center"/>
              <w:outlineLvl w:val="2"/>
              <w:cnfStyle w:val="000000000000"/>
              <w:rPr>
                <w:rFonts w:cs="Times New Roman"/>
                <w:b w:val="0"/>
                <w:bCs w:val="0"/>
                <w:color w:val="auto"/>
              </w:rPr>
            </w:pPr>
            <w:r w:rsidRPr="00883F93">
              <w:rPr>
                <w:rFonts w:cs="Times New Roman"/>
                <w:b w:val="0"/>
                <w:bCs w:val="0"/>
                <w:color w:val="auto"/>
              </w:rPr>
              <w:t>13</w:t>
            </w:r>
          </w:p>
        </w:tc>
        <w:tc>
          <w:tcPr>
            <w:tcW w:w="3970" w:type="dxa"/>
            <w:tcBorders>
              <w:bottom w:val="single" w:sz="4" w:space="0" w:color="auto"/>
              <w:right w:val="single" w:sz="4" w:space="0" w:color="auto"/>
            </w:tcBorders>
          </w:tcPr>
          <w:p w:rsidR="00224329" w:rsidRPr="00883F93" w:rsidRDefault="00224329" w:rsidP="00A104E3">
            <w:pPr>
              <w:pStyle w:val="Heading3"/>
              <w:bidi w:val="0"/>
              <w:spacing w:line="276" w:lineRule="auto"/>
              <w:outlineLvl w:val="2"/>
              <w:cnfStyle w:val="000000000000"/>
              <w:rPr>
                <w:rFonts w:cs="Times New Roman"/>
                <w:b w:val="0"/>
                <w:bCs w:val="0"/>
                <w:color w:val="auto"/>
              </w:rPr>
            </w:pPr>
            <w:r w:rsidRPr="00883F93">
              <w:rPr>
                <w:rFonts w:cs="Times New Roman"/>
                <w:b w:val="0"/>
                <w:bCs w:val="0"/>
                <w:color w:val="auto"/>
              </w:rPr>
              <w:t>Settler violence and military action</w:t>
            </w:r>
          </w:p>
        </w:tc>
      </w:tr>
    </w:tbl>
    <w:p w:rsidR="00D467AF" w:rsidRPr="003122A3" w:rsidRDefault="00A104E3" w:rsidP="008E657F">
      <w:pPr>
        <w:jc w:val="both"/>
        <w:rPr>
          <w:rFonts w:ascii="Times New Roman" w:hAnsi="Times New Roman" w:cs="Times New Roman"/>
          <w:sz w:val="18"/>
          <w:szCs w:val="18"/>
          <w:rtl/>
        </w:rPr>
      </w:pPr>
      <w:r w:rsidRPr="003122A3">
        <w:rPr>
          <w:rFonts w:ascii="Times New Roman" w:hAnsi="Times New Roman" w:cs="Times New Roman"/>
          <w:sz w:val="18"/>
          <w:szCs w:val="18"/>
        </w:rPr>
        <w:t xml:space="preserve">             </w:t>
      </w:r>
      <w:r w:rsidR="002935B7" w:rsidRPr="003122A3">
        <w:rPr>
          <w:rFonts w:ascii="Times New Roman" w:hAnsi="Times New Roman" w:cs="Times New Roman"/>
          <w:sz w:val="18"/>
          <w:szCs w:val="18"/>
        </w:rPr>
        <w:t>Source: UNICEF 2014, Database on Children Harmed by Armed Conflicts. Unpublished Data</w:t>
      </w:r>
    </w:p>
    <w:p w:rsidR="00883F93" w:rsidRDefault="00883F93" w:rsidP="00D2533C">
      <w:pPr>
        <w:pStyle w:val="Caption"/>
        <w:bidi w:val="0"/>
        <w:rPr>
          <w:sz w:val="22"/>
          <w:szCs w:val="24"/>
        </w:rPr>
      </w:pPr>
      <w:bookmarkStart w:id="66" w:name="_Toc420268237"/>
    </w:p>
    <w:p w:rsidR="002A6C92" w:rsidRDefault="002A6C92" w:rsidP="00883F93">
      <w:pPr>
        <w:pStyle w:val="Caption"/>
        <w:bidi w:val="0"/>
        <w:rPr>
          <w:sz w:val="22"/>
          <w:szCs w:val="24"/>
        </w:rPr>
      </w:pPr>
    </w:p>
    <w:p w:rsidR="00087F5C" w:rsidRPr="00087F5C" w:rsidRDefault="00087F5C" w:rsidP="00087F5C"/>
    <w:p w:rsidR="00ED4F9C" w:rsidRPr="003122A3" w:rsidRDefault="003478BC" w:rsidP="002A6C92">
      <w:pPr>
        <w:pStyle w:val="Caption"/>
        <w:bidi w:val="0"/>
        <w:rPr>
          <w:b w:val="0"/>
          <w:bCs w:val="0"/>
          <w:sz w:val="22"/>
          <w:szCs w:val="22"/>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23</w:t>
      </w:r>
      <w:r w:rsidR="008F57C8" w:rsidRPr="003122A3">
        <w:rPr>
          <w:sz w:val="22"/>
          <w:szCs w:val="24"/>
        </w:rPr>
        <w:fldChar w:fldCharType="end"/>
      </w:r>
      <w:r w:rsidRPr="003122A3">
        <w:rPr>
          <w:sz w:val="22"/>
          <w:szCs w:val="24"/>
        </w:rPr>
        <w:t>: Number of Martyr and Wounded Children 2010-2014</w:t>
      </w:r>
      <w:bookmarkEnd w:id="66"/>
    </w:p>
    <w:p w:rsidR="00694557" w:rsidRPr="003122A3" w:rsidRDefault="00694557" w:rsidP="00D2533C">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803188" cy="1943303"/>
            <wp:effectExtent l="19050" t="0" r="26112"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66742F" w:rsidRPr="003122A3" w:rsidRDefault="00D2533C" w:rsidP="002F32ED">
      <w:pPr>
        <w:tabs>
          <w:tab w:val="left" w:pos="284"/>
        </w:tabs>
        <w:jc w:val="both"/>
        <w:rPr>
          <w:rFonts w:ascii="Times New Roman" w:hAnsi="Times New Roman" w:cs="Times New Roman"/>
          <w:sz w:val="18"/>
          <w:szCs w:val="18"/>
          <w:rtl/>
        </w:rPr>
      </w:pPr>
      <w:r w:rsidRPr="003122A3">
        <w:rPr>
          <w:rFonts w:ascii="Times New Roman" w:hAnsi="Times New Roman" w:cs="Times New Roman"/>
          <w:sz w:val="18"/>
          <w:szCs w:val="18"/>
        </w:rPr>
        <w:t xml:space="preserve">           </w:t>
      </w:r>
      <w:r w:rsidR="002935B7" w:rsidRPr="003122A3">
        <w:rPr>
          <w:rFonts w:ascii="Times New Roman" w:hAnsi="Times New Roman" w:cs="Times New Roman"/>
          <w:sz w:val="18"/>
          <w:szCs w:val="18"/>
        </w:rPr>
        <w:t>Source: UNICEF 2014, Database on Children Harmed by Armed Conflicts. Unpublished Data</w:t>
      </w:r>
      <w:r w:rsidR="005C1C72" w:rsidRPr="003122A3">
        <w:rPr>
          <w:rFonts w:ascii="Times New Roman" w:hAnsi="Times New Roman" w:cs="Times New Roman"/>
          <w:sz w:val="18"/>
          <w:szCs w:val="18"/>
          <w:rtl/>
        </w:rPr>
        <w:t>.</w:t>
      </w:r>
    </w:p>
    <w:p w:rsidR="00624941" w:rsidRPr="003122A3" w:rsidRDefault="002935B7" w:rsidP="009914CC">
      <w:pPr>
        <w:pStyle w:val="Heading2"/>
        <w:ind w:firstLineChars="0" w:firstLine="0"/>
        <w:jc w:val="left"/>
        <w:rPr>
          <w:rFonts w:ascii="Times New Roman" w:hAnsi="Times New Roman" w:cs="Times New Roman"/>
          <w:sz w:val="24"/>
          <w:szCs w:val="24"/>
        </w:rPr>
      </w:pPr>
      <w:bookmarkStart w:id="67" w:name="_Toc420244996"/>
      <w:r w:rsidRPr="003122A3">
        <w:rPr>
          <w:rFonts w:ascii="Times New Roman" w:hAnsi="Times New Roman" w:cs="Times New Roman"/>
          <w:sz w:val="24"/>
          <w:szCs w:val="24"/>
        </w:rPr>
        <w:t>5.3 Child Detainees</w:t>
      </w:r>
      <w:bookmarkEnd w:id="67"/>
    </w:p>
    <w:p w:rsidR="00224329" w:rsidRPr="002A6C92" w:rsidRDefault="00224329" w:rsidP="002A6C92">
      <w:pPr>
        <w:spacing w:after="0" w:line="240" w:lineRule="auto"/>
        <w:jc w:val="both"/>
        <w:rPr>
          <w:rFonts w:ascii="Times New Roman" w:hAnsi="Times New Roman" w:cs="Times New Roman"/>
          <w:sz w:val="24"/>
          <w:szCs w:val="24"/>
          <w:rtl/>
        </w:rPr>
      </w:pPr>
    </w:p>
    <w:p w:rsidR="0050046E" w:rsidRDefault="002935B7" w:rsidP="002A6C92">
      <w:pPr>
        <w:spacing w:after="0" w:line="240" w:lineRule="auto"/>
        <w:jc w:val="both"/>
        <w:rPr>
          <w:rFonts w:ascii="Times New Roman" w:hAnsi="Times New Roman" w:cs="Times New Roman"/>
          <w:szCs w:val="24"/>
        </w:rPr>
      </w:pPr>
      <w:r w:rsidRPr="003122A3">
        <w:rPr>
          <w:rFonts w:ascii="Times New Roman" w:hAnsi="Times New Roman" w:cs="Times New Roman"/>
          <w:szCs w:val="24"/>
        </w:rPr>
        <w:t>Data from the Prisoners’ Affairs Commission show that 3,755 children were detained in the past four years while the number of children detained in 2014 reached 1,266, showing an increase by 36.0% compared to 2013. PAC showed that the number of Palestinian children currently detained in Israeli jails reached 300 children</w:t>
      </w:r>
      <w:r w:rsidRPr="003122A3">
        <w:rPr>
          <w:rStyle w:val="FootnoteReference"/>
          <w:rFonts w:ascii="Times New Roman" w:hAnsi="Times New Roman" w:cs="Times New Roman"/>
          <w:szCs w:val="24"/>
          <w:rtl/>
        </w:rPr>
        <w:footnoteReference w:id="39"/>
      </w:r>
      <w:r w:rsidRPr="003122A3">
        <w:rPr>
          <w:rFonts w:ascii="Times New Roman" w:hAnsi="Times New Roman" w:cs="Times New Roman"/>
          <w:szCs w:val="24"/>
        </w:rPr>
        <w:t>. On another level, UNICEF reported that list of charges were prepared for most of the detained children aged 16-18 years old. Figures presented here-below show  the annual arrest cases among children. The number of children arrested per month differ. Some of them may have been released a month after their arrest during a subsequent month. Therefore, it is more accurate to use the number of cases of arrest rather than the number of detained children. On the other hand, it should be noted that hundreds of detainees still in Israeli captivity were detained when they were under 18 years old.</w:t>
      </w:r>
    </w:p>
    <w:p w:rsidR="002A6C92" w:rsidRPr="003122A3" w:rsidRDefault="002A6C92" w:rsidP="002A6C92">
      <w:pPr>
        <w:spacing w:after="0" w:line="240" w:lineRule="auto"/>
        <w:jc w:val="both"/>
        <w:rPr>
          <w:rFonts w:ascii="Times New Roman" w:hAnsi="Times New Roman" w:cs="Times New Roman"/>
        </w:rPr>
      </w:pPr>
    </w:p>
    <w:p w:rsidR="000F5754" w:rsidRPr="003122A3" w:rsidRDefault="0050046E" w:rsidP="00404AD7">
      <w:pPr>
        <w:pStyle w:val="Caption"/>
        <w:bidi w:val="0"/>
        <w:rPr>
          <w:b w:val="0"/>
          <w:bCs w:val="0"/>
          <w:szCs w:val="24"/>
          <w:rtl/>
        </w:rPr>
      </w:pPr>
      <w:bookmarkStart w:id="68" w:name="_Toc420268238"/>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24</w:t>
      </w:r>
      <w:r w:rsidR="008F57C8" w:rsidRPr="003122A3">
        <w:rPr>
          <w:sz w:val="22"/>
          <w:szCs w:val="24"/>
        </w:rPr>
        <w:fldChar w:fldCharType="end"/>
      </w:r>
      <w:r w:rsidRPr="003122A3">
        <w:rPr>
          <w:sz w:val="22"/>
          <w:szCs w:val="24"/>
        </w:rPr>
        <w:t>: Number of Cases of Detention of Children by Age Group and Year, 2008-2014</w:t>
      </w:r>
      <w:bookmarkEnd w:id="68"/>
    </w:p>
    <w:p w:rsidR="000F5754" w:rsidRPr="003122A3" w:rsidRDefault="000F5754" w:rsidP="00404AD7">
      <w:pPr>
        <w:jc w:val="center"/>
        <w:rPr>
          <w:rFonts w:ascii="Times New Roman" w:hAnsi="Times New Roman" w:cs="Times New Roman"/>
          <w:b/>
          <w:bCs/>
          <w:szCs w:val="24"/>
          <w:rtl/>
        </w:rPr>
      </w:pPr>
      <w:r w:rsidRPr="003122A3">
        <w:rPr>
          <w:rFonts w:ascii="Times New Roman" w:hAnsi="Times New Roman" w:cs="Times New Roman"/>
          <w:b/>
          <w:bCs/>
          <w:noProof/>
          <w:szCs w:val="24"/>
          <w:rtl/>
        </w:rPr>
        <w:drawing>
          <wp:inline distT="0" distB="0" distL="0" distR="0">
            <wp:extent cx="5803849" cy="2487168"/>
            <wp:effectExtent l="19050" t="0" r="25451" b="8382"/>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5F1DD5" w:rsidRPr="003122A3" w:rsidRDefault="008C4589" w:rsidP="008E657F">
      <w:pPr>
        <w:jc w:val="both"/>
        <w:rPr>
          <w:rFonts w:ascii="Times New Roman" w:hAnsi="Times New Roman" w:cs="Times New Roman"/>
          <w:sz w:val="18"/>
          <w:szCs w:val="18"/>
          <w:rtl/>
        </w:rPr>
      </w:pPr>
      <w:r w:rsidRPr="003122A3">
        <w:rPr>
          <w:rFonts w:ascii="Times New Roman" w:hAnsi="Times New Roman" w:cs="Times New Roman"/>
          <w:sz w:val="18"/>
          <w:szCs w:val="18"/>
          <w:rtl/>
        </w:rPr>
        <w:t xml:space="preserve">       </w:t>
      </w:r>
      <w:r w:rsidR="005F1DD5" w:rsidRPr="003122A3">
        <w:rPr>
          <w:rFonts w:ascii="Times New Roman" w:hAnsi="Times New Roman" w:cs="Times New Roman"/>
          <w:sz w:val="18"/>
          <w:szCs w:val="18"/>
          <w:rtl/>
        </w:rPr>
        <w:t xml:space="preserve">  </w:t>
      </w:r>
      <w:r w:rsidRPr="003122A3">
        <w:rPr>
          <w:rFonts w:ascii="Times New Roman" w:hAnsi="Times New Roman" w:cs="Times New Roman"/>
          <w:sz w:val="18"/>
          <w:szCs w:val="18"/>
          <w:rtl/>
        </w:rPr>
        <w:t xml:space="preserve"> </w:t>
      </w:r>
      <w:r w:rsidR="002935B7" w:rsidRPr="003122A3">
        <w:rPr>
          <w:rFonts w:ascii="Times New Roman" w:hAnsi="Times New Roman" w:cs="Times New Roman"/>
          <w:sz w:val="18"/>
          <w:szCs w:val="18"/>
        </w:rPr>
        <w:t>Source: UNICEF 2014, Database on Children Harmed by Armed Conflicts. Unpublished Data</w:t>
      </w:r>
    </w:p>
    <w:p w:rsidR="00D2533C" w:rsidRPr="003122A3" w:rsidRDefault="00D2533C" w:rsidP="0050046E">
      <w:pPr>
        <w:pStyle w:val="Caption"/>
        <w:bidi w:val="0"/>
        <w:jc w:val="both"/>
      </w:pPr>
      <w:bookmarkStart w:id="69" w:name="_Toc420268239"/>
    </w:p>
    <w:p w:rsidR="00D2533C" w:rsidRPr="003122A3" w:rsidRDefault="00D2533C" w:rsidP="00D2533C">
      <w:pPr>
        <w:pStyle w:val="Caption"/>
        <w:bidi w:val="0"/>
        <w:jc w:val="both"/>
      </w:pPr>
    </w:p>
    <w:p w:rsidR="00D2533C" w:rsidRDefault="00D2533C" w:rsidP="00D2533C">
      <w:pPr>
        <w:pStyle w:val="Caption"/>
        <w:bidi w:val="0"/>
        <w:jc w:val="both"/>
      </w:pPr>
    </w:p>
    <w:p w:rsidR="002A6C92" w:rsidRPr="002A6C92" w:rsidRDefault="002A6C92" w:rsidP="002A6C92"/>
    <w:p w:rsidR="00D92CA9" w:rsidRPr="003122A3" w:rsidRDefault="0050046E" w:rsidP="00404AD7">
      <w:pPr>
        <w:pStyle w:val="Caption"/>
        <w:bidi w:val="0"/>
        <w:rPr>
          <w:b w:val="0"/>
          <w:bCs w:val="0"/>
          <w:sz w:val="22"/>
          <w:szCs w:val="22"/>
          <w:rtl/>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25</w:t>
      </w:r>
      <w:r w:rsidR="008F57C8" w:rsidRPr="003122A3">
        <w:rPr>
          <w:sz w:val="22"/>
          <w:szCs w:val="24"/>
        </w:rPr>
        <w:fldChar w:fldCharType="end"/>
      </w:r>
      <w:r w:rsidRPr="003122A3">
        <w:rPr>
          <w:sz w:val="22"/>
          <w:szCs w:val="24"/>
        </w:rPr>
        <w:t>: Number of Cases of Detention of Children by Age Group 2014</w:t>
      </w:r>
      <w:bookmarkEnd w:id="69"/>
    </w:p>
    <w:p w:rsidR="00852896" w:rsidRPr="003122A3" w:rsidRDefault="00852896" w:rsidP="00404AD7">
      <w:pPr>
        <w:jc w:val="center"/>
        <w:rPr>
          <w:rFonts w:ascii="Times New Roman" w:hAnsi="Times New Roman" w:cs="Times New Roman"/>
          <w:b/>
          <w:bCs/>
          <w:szCs w:val="24"/>
          <w:rtl/>
        </w:rPr>
      </w:pPr>
      <w:r w:rsidRPr="003122A3">
        <w:rPr>
          <w:rFonts w:ascii="Times New Roman" w:hAnsi="Times New Roman" w:cs="Times New Roman"/>
          <w:b/>
          <w:bCs/>
          <w:noProof/>
          <w:szCs w:val="24"/>
          <w:rtl/>
        </w:rPr>
        <w:drawing>
          <wp:inline distT="0" distB="0" distL="0" distR="0">
            <wp:extent cx="5819111" cy="2636875"/>
            <wp:effectExtent l="0" t="0" r="10795" b="1143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935B7" w:rsidRPr="003122A3" w:rsidRDefault="008C4589" w:rsidP="008E657F">
      <w:pPr>
        <w:jc w:val="both"/>
        <w:rPr>
          <w:rFonts w:ascii="Times New Roman" w:hAnsi="Times New Roman" w:cs="Times New Roman"/>
          <w:sz w:val="18"/>
          <w:szCs w:val="18"/>
          <w:rtl/>
        </w:rPr>
      </w:pPr>
      <w:r w:rsidRPr="003122A3">
        <w:rPr>
          <w:rFonts w:ascii="Times New Roman" w:hAnsi="Times New Roman" w:cs="Times New Roman"/>
          <w:sz w:val="18"/>
          <w:szCs w:val="18"/>
          <w:rtl/>
        </w:rPr>
        <w:t xml:space="preserve">      </w:t>
      </w:r>
      <w:r w:rsidR="002935B7" w:rsidRPr="003122A3">
        <w:rPr>
          <w:rFonts w:ascii="Times New Roman" w:hAnsi="Times New Roman" w:cs="Times New Roman"/>
          <w:sz w:val="18"/>
          <w:szCs w:val="18"/>
        </w:rPr>
        <w:t>Source: UNICEF 2014, Database on Children Harmed by Armed Conflicts. Unpublished Data</w:t>
      </w:r>
    </w:p>
    <w:p w:rsidR="00303D53" w:rsidRDefault="00303D53" w:rsidP="002A6C9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A report published by UNICEF</w:t>
      </w:r>
      <w:r w:rsidRPr="003122A3">
        <w:rPr>
          <w:rStyle w:val="FootnoteReference"/>
          <w:rFonts w:ascii="Times New Roman" w:hAnsi="Times New Roman" w:cs="Times New Roman"/>
          <w:sz w:val="24"/>
          <w:szCs w:val="24"/>
          <w:rtl/>
        </w:rPr>
        <w:footnoteReference w:id="40"/>
      </w:r>
      <w:r w:rsidRPr="003122A3">
        <w:rPr>
          <w:rFonts w:ascii="Times New Roman" w:hAnsi="Times New Roman" w:cs="Times New Roman"/>
          <w:sz w:val="24"/>
          <w:szCs w:val="24"/>
        </w:rPr>
        <w:t xml:space="preserve"> showed that maltreatment of Palestinian children detained in Israeli jails still represents a systematic, widespread policy </w:t>
      </w:r>
      <w:proofErr w:type="spellStart"/>
      <w:r w:rsidRPr="003122A3">
        <w:rPr>
          <w:rFonts w:ascii="Times New Roman" w:hAnsi="Times New Roman" w:cs="Times New Roman"/>
          <w:sz w:val="24"/>
          <w:szCs w:val="24"/>
        </w:rPr>
        <w:t>nothwithstanding</w:t>
      </w:r>
      <w:proofErr w:type="spellEnd"/>
      <w:r w:rsidRPr="003122A3">
        <w:rPr>
          <w:rFonts w:ascii="Times New Roman" w:hAnsi="Times New Roman" w:cs="Times New Roman"/>
          <w:sz w:val="24"/>
          <w:szCs w:val="24"/>
        </w:rPr>
        <w:t xml:space="preserve"> the latest amendments to the Israeli law. The report showed that in 2014 till July 2014, testimonies of 208 children detained in Israeli jails were collected to report on their maltreatment by prison officers. Testimonies of children (139 of </w:t>
      </w:r>
      <w:proofErr w:type="spellStart"/>
      <w:r w:rsidRPr="003122A3">
        <w:rPr>
          <w:rFonts w:ascii="Times New Roman" w:hAnsi="Times New Roman" w:cs="Times New Roman"/>
          <w:sz w:val="24"/>
          <w:szCs w:val="24"/>
        </w:rPr>
        <w:t>whome</w:t>
      </w:r>
      <w:proofErr w:type="spellEnd"/>
      <w:r w:rsidRPr="003122A3">
        <w:rPr>
          <w:rFonts w:ascii="Times New Roman" w:hAnsi="Times New Roman" w:cs="Times New Roman"/>
          <w:sz w:val="24"/>
          <w:szCs w:val="24"/>
        </w:rPr>
        <w:t xml:space="preserve"> are aged 16-17 years and 69 under 16 years) showed that they were subjected to various types of violence throughout their detention, transfer, interrogation and custody. The table below presents the types of violence and maltreatment they were subjected to. </w:t>
      </w:r>
    </w:p>
    <w:p w:rsidR="002A6C92" w:rsidRPr="003122A3" w:rsidRDefault="002A6C92" w:rsidP="002A6C92">
      <w:pPr>
        <w:spacing w:after="0" w:line="240" w:lineRule="auto"/>
        <w:jc w:val="both"/>
        <w:rPr>
          <w:rFonts w:ascii="Times New Roman" w:hAnsi="Times New Roman" w:cs="Times New Roman"/>
          <w:sz w:val="24"/>
          <w:szCs w:val="24"/>
          <w:rtl/>
        </w:rPr>
      </w:pPr>
    </w:p>
    <w:p w:rsidR="002B5CA4" w:rsidRPr="003122A3" w:rsidRDefault="002B5CA4" w:rsidP="00AE568A">
      <w:pPr>
        <w:pStyle w:val="Caption"/>
        <w:keepNext/>
        <w:bidi w:val="0"/>
        <w:rPr>
          <w:sz w:val="22"/>
          <w:szCs w:val="22"/>
        </w:rPr>
      </w:pPr>
      <w:bookmarkStart w:id="70" w:name="_Toc420269304"/>
      <w:r w:rsidRPr="003122A3">
        <w:rPr>
          <w:sz w:val="22"/>
          <w:szCs w:val="22"/>
        </w:rPr>
        <w:t>Table</w:t>
      </w:r>
      <w:r w:rsidR="00342A8C">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6</w:t>
      </w:r>
      <w:r w:rsidR="008F57C8" w:rsidRPr="003122A3">
        <w:rPr>
          <w:sz w:val="22"/>
          <w:szCs w:val="22"/>
          <w:rtl/>
        </w:rPr>
        <w:fldChar w:fldCharType="end"/>
      </w:r>
      <w:r w:rsidRPr="003122A3">
        <w:rPr>
          <w:sz w:val="22"/>
          <w:szCs w:val="22"/>
        </w:rPr>
        <w:t>: Number of Child Detainees According to Type of Violence and Maltreatment, 2013-2014</w:t>
      </w:r>
      <w:r w:rsidRPr="003122A3">
        <w:rPr>
          <w:rStyle w:val="FootnoteReference"/>
          <w:sz w:val="22"/>
          <w:szCs w:val="22"/>
          <w:rtl/>
        </w:rPr>
        <w:footnoteReference w:id="41"/>
      </w:r>
      <w:bookmarkEnd w:id="70"/>
    </w:p>
    <w:tbl>
      <w:tblPr>
        <w:tblStyle w:val="LightShading-Accent11"/>
        <w:tblW w:w="0" w:type="auto"/>
        <w:jc w:val="center"/>
        <w:tblLook w:val="04A0"/>
      </w:tblPr>
      <w:tblGrid>
        <w:gridCol w:w="3993"/>
        <w:gridCol w:w="1247"/>
        <w:gridCol w:w="3035"/>
        <w:gridCol w:w="1354"/>
      </w:tblGrid>
      <w:tr w:rsidR="00303D53" w:rsidRPr="003122A3" w:rsidTr="00A546C7">
        <w:trPr>
          <w:cnfStyle w:val="100000000000"/>
          <w:jc w:val="center"/>
        </w:trPr>
        <w:tc>
          <w:tcPr>
            <w:cnfStyle w:val="001000000000"/>
            <w:tcW w:w="3993" w:type="dxa"/>
            <w:tcBorders>
              <w:top w:val="single" w:sz="4" w:space="0" w:color="auto"/>
              <w:left w:val="single" w:sz="4" w:space="0" w:color="auto"/>
              <w:bottom w:val="single" w:sz="4" w:space="0" w:color="auto"/>
              <w:right w:val="single" w:sz="4" w:space="0" w:color="auto"/>
            </w:tcBorders>
          </w:tcPr>
          <w:p w:rsidR="00303D53" w:rsidRPr="00FB2486" w:rsidRDefault="00303D53" w:rsidP="00224329">
            <w:pPr>
              <w:spacing w:line="276" w:lineRule="auto"/>
              <w:jc w:val="center"/>
              <w:rPr>
                <w:rFonts w:ascii="Times New Roman" w:hAnsi="Times New Roman"/>
                <w:color w:val="auto"/>
                <w:sz w:val="20"/>
                <w:szCs w:val="20"/>
              </w:rPr>
            </w:pPr>
            <w:r w:rsidRPr="00FB2486">
              <w:rPr>
                <w:rFonts w:ascii="Times New Roman" w:hAnsi="Times New Roman"/>
                <w:color w:val="auto"/>
                <w:sz w:val="20"/>
                <w:szCs w:val="20"/>
              </w:rPr>
              <w:t>Type of Violence and maltreatment</w:t>
            </w:r>
          </w:p>
        </w:tc>
        <w:tc>
          <w:tcPr>
            <w:tcW w:w="1247" w:type="dxa"/>
            <w:tcBorders>
              <w:top w:val="single" w:sz="4" w:space="0" w:color="auto"/>
              <w:left w:val="single" w:sz="4" w:space="0" w:color="auto"/>
              <w:bottom w:val="single" w:sz="4" w:space="0" w:color="auto"/>
              <w:right w:val="single" w:sz="4" w:space="0" w:color="auto"/>
            </w:tcBorders>
          </w:tcPr>
          <w:p w:rsidR="00303D53" w:rsidRPr="00FB2486" w:rsidRDefault="00303D53" w:rsidP="00224329">
            <w:pPr>
              <w:spacing w:line="276" w:lineRule="auto"/>
              <w:jc w:val="center"/>
              <w:cnfStyle w:val="100000000000"/>
              <w:rPr>
                <w:rFonts w:ascii="Times New Roman" w:hAnsi="Times New Roman"/>
                <w:color w:val="auto"/>
                <w:sz w:val="20"/>
                <w:szCs w:val="20"/>
              </w:rPr>
            </w:pPr>
            <w:r w:rsidRPr="00FB2486">
              <w:rPr>
                <w:rFonts w:ascii="Times New Roman" w:hAnsi="Times New Roman"/>
                <w:color w:val="auto"/>
                <w:sz w:val="20"/>
                <w:szCs w:val="20"/>
              </w:rPr>
              <w:t>No of cases</w:t>
            </w:r>
          </w:p>
        </w:tc>
        <w:tc>
          <w:tcPr>
            <w:tcW w:w="3035" w:type="dxa"/>
            <w:tcBorders>
              <w:top w:val="single" w:sz="4" w:space="0" w:color="auto"/>
              <w:left w:val="single" w:sz="4" w:space="0" w:color="auto"/>
              <w:bottom w:val="single" w:sz="4" w:space="0" w:color="auto"/>
              <w:right w:val="single" w:sz="4" w:space="0" w:color="auto"/>
            </w:tcBorders>
          </w:tcPr>
          <w:p w:rsidR="00303D53" w:rsidRPr="00FB2486" w:rsidRDefault="00303D53" w:rsidP="00224329">
            <w:pPr>
              <w:spacing w:line="276" w:lineRule="auto"/>
              <w:jc w:val="center"/>
              <w:cnfStyle w:val="100000000000"/>
              <w:rPr>
                <w:rFonts w:ascii="Times New Roman" w:hAnsi="Times New Roman"/>
                <w:color w:val="auto"/>
                <w:sz w:val="20"/>
                <w:szCs w:val="20"/>
              </w:rPr>
            </w:pPr>
            <w:r w:rsidRPr="00FB2486">
              <w:rPr>
                <w:rFonts w:ascii="Times New Roman" w:hAnsi="Times New Roman"/>
                <w:color w:val="auto"/>
                <w:sz w:val="20"/>
                <w:szCs w:val="20"/>
              </w:rPr>
              <w:t>Type of violence and Maltreatment</w:t>
            </w:r>
          </w:p>
        </w:tc>
        <w:tc>
          <w:tcPr>
            <w:tcW w:w="1354" w:type="dxa"/>
            <w:tcBorders>
              <w:top w:val="single" w:sz="4" w:space="0" w:color="auto"/>
              <w:left w:val="single" w:sz="4" w:space="0" w:color="auto"/>
              <w:bottom w:val="single" w:sz="4" w:space="0" w:color="auto"/>
              <w:right w:val="single" w:sz="4" w:space="0" w:color="auto"/>
            </w:tcBorders>
          </w:tcPr>
          <w:p w:rsidR="00303D53" w:rsidRPr="00FB2486" w:rsidRDefault="00303D53" w:rsidP="00224329">
            <w:pPr>
              <w:spacing w:line="276" w:lineRule="auto"/>
              <w:cnfStyle w:val="100000000000"/>
              <w:rPr>
                <w:rFonts w:ascii="Times New Roman" w:hAnsi="Times New Roman"/>
                <w:color w:val="auto"/>
                <w:sz w:val="20"/>
                <w:szCs w:val="20"/>
              </w:rPr>
            </w:pPr>
            <w:r w:rsidRPr="00FB2486">
              <w:rPr>
                <w:rFonts w:ascii="Times New Roman" w:hAnsi="Times New Roman"/>
                <w:color w:val="auto"/>
                <w:sz w:val="20"/>
                <w:szCs w:val="20"/>
              </w:rPr>
              <w:t>No of cases</w:t>
            </w:r>
          </w:p>
        </w:tc>
      </w:tr>
      <w:tr w:rsidR="00303D53" w:rsidRPr="003122A3" w:rsidTr="00FB2486">
        <w:trPr>
          <w:cnfStyle w:val="000000100000"/>
          <w:jc w:val="center"/>
        </w:trPr>
        <w:tc>
          <w:tcPr>
            <w:cnfStyle w:val="001000000000"/>
            <w:tcW w:w="3993" w:type="dxa"/>
            <w:tcBorders>
              <w:top w:val="single" w:sz="4" w:space="0" w:color="auto"/>
              <w:left w:val="single" w:sz="4" w:space="0" w:color="auto"/>
            </w:tcBorders>
          </w:tcPr>
          <w:p w:rsidR="00303D53" w:rsidRPr="00FB2486" w:rsidRDefault="00303D53" w:rsidP="00224329">
            <w:pPr>
              <w:spacing w:line="276" w:lineRule="auto"/>
              <w:rPr>
                <w:rFonts w:ascii="Times New Roman" w:hAnsi="Times New Roman"/>
                <w:b w:val="0"/>
                <w:bCs w:val="0"/>
                <w:color w:val="auto"/>
                <w:sz w:val="20"/>
                <w:szCs w:val="20"/>
              </w:rPr>
            </w:pPr>
            <w:r w:rsidRPr="00FB2486">
              <w:rPr>
                <w:rFonts w:ascii="Times New Roman" w:hAnsi="Times New Roman"/>
                <w:b w:val="0"/>
                <w:bCs w:val="0"/>
                <w:color w:val="auto"/>
                <w:sz w:val="20"/>
                <w:szCs w:val="20"/>
              </w:rPr>
              <w:t xml:space="preserve">Blinded during detention </w:t>
            </w:r>
          </w:p>
        </w:tc>
        <w:tc>
          <w:tcPr>
            <w:tcW w:w="1247" w:type="dxa"/>
            <w:tcBorders>
              <w:top w:val="single" w:sz="4" w:space="0" w:color="auto"/>
            </w:tcBorders>
          </w:tcPr>
          <w:p w:rsidR="00303D53" w:rsidRPr="003122A3" w:rsidRDefault="00303D53" w:rsidP="00224329">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162</w:t>
            </w:r>
          </w:p>
        </w:tc>
        <w:tc>
          <w:tcPr>
            <w:tcW w:w="3035" w:type="dxa"/>
            <w:tcBorders>
              <w:top w:val="single" w:sz="4" w:space="0" w:color="auto"/>
            </w:tcBorders>
          </w:tcPr>
          <w:p w:rsidR="00303D53" w:rsidRPr="003122A3" w:rsidRDefault="00303D53" w:rsidP="00224329">
            <w:pPr>
              <w:spacing w:line="276" w:lineRule="auto"/>
              <w:cnfStyle w:val="000000100000"/>
              <w:rPr>
                <w:rFonts w:ascii="Times New Roman" w:hAnsi="Times New Roman"/>
                <w:color w:val="auto"/>
                <w:sz w:val="20"/>
                <w:szCs w:val="20"/>
              </w:rPr>
            </w:pPr>
            <w:r w:rsidRPr="003122A3">
              <w:rPr>
                <w:rFonts w:ascii="Times New Roman" w:hAnsi="Times New Roman"/>
                <w:color w:val="auto"/>
                <w:sz w:val="20"/>
                <w:szCs w:val="20"/>
              </w:rPr>
              <w:t>Arrested after confrontations</w:t>
            </w:r>
          </w:p>
        </w:tc>
        <w:tc>
          <w:tcPr>
            <w:tcW w:w="1354" w:type="dxa"/>
            <w:tcBorders>
              <w:top w:val="single" w:sz="4" w:space="0" w:color="auto"/>
              <w:right w:val="single" w:sz="4" w:space="0" w:color="auto"/>
            </w:tcBorders>
          </w:tcPr>
          <w:p w:rsidR="00303D53" w:rsidRPr="003122A3" w:rsidRDefault="00303D53" w:rsidP="00224329">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45</w:t>
            </w:r>
          </w:p>
        </w:tc>
      </w:tr>
      <w:tr w:rsidR="00303D53" w:rsidRPr="003122A3" w:rsidTr="00FB2486">
        <w:trPr>
          <w:jc w:val="center"/>
        </w:trPr>
        <w:tc>
          <w:tcPr>
            <w:cnfStyle w:val="001000000000"/>
            <w:tcW w:w="3993" w:type="dxa"/>
            <w:tcBorders>
              <w:left w:val="single" w:sz="4" w:space="0" w:color="auto"/>
            </w:tcBorders>
          </w:tcPr>
          <w:p w:rsidR="00303D53" w:rsidRPr="00FB2486" w:rsidRDefault="00303D53" w:rsidP="00224329">
            <w:pPr>
              <w:spacing w:line="276" w:lineRule="auto"/>
              <w:rPr>
                <w:rFonts w:ascii="Times New Roman" w:hAnsi="Times New Roman"/>
                <w:b w:val="0"/>
                <w:bCs w:val="0"/>
                <w:color w:val="auto"/>
                <w:sz w:val="20"/>
                <w:szCs w:val="20"/>
              </w:rPr>
            </w:pPr>
            <w:r w:rsidRPr="00FB2486">
              <w:rPr>
                <w:rFonts w:ascii="Times New Roman" w:hAnsi="Times New Roman"/>
                <w:b w:val="0"/>
                <w:bCs w:val="0"/>
                <w:color w:val="auto"/>
                <w:sz w:val="20"/>
                <w:szCs w:val="20"/>
              </w:rPr>
              <w:t>Painfully handcuffed</w:t>
            </w:r>
          </w:p>
        </w:tc>
        <w:tc>
          <w:tcPr>
            <w:tcW w:w="1247" w:type="dxa"/>
          </w:tcPr>
          <w:p w:rsidR="00303D53" w:rsidRPr="003122A3" w:rsidRDefault="00303D53" w:rsidP="00224329">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189</w:t>
            </w:r>
          </w:p>
        </w:tc>
        <w:tc>
          <w:tcPr>
            <w:tcW w:w="3035" w:type="dxa"/>
          </w:tcPr>
          <w:p w:rsidR="00303D53" w:rsidRPr="003122A3" w:rsidRDefault="00303D53" w:rsidP="00224329">
            <w:pPr>
              <w:spacing w:line="276" w:lineRule="auto"/>
              <w:cnfStyle w:val="000000000000"/>
              <w:rPr>
                <w:rFonts w:ascii="Times New Roman" w:hAnsi="Times New Roman"/>
                <w:color w:val="auto"/>
                <w:sz w:val="20"/>
                <w:szCs w:val="20"/>
              </w:rPr>
            </w:pPr>
            <w:r w:rsidRPr="003122A3">
              <w:rPr>
                <w:rFonts w:ascii="Times New Roman" w:hAnsi="Times New Roman"/>
                <w:color w:val="auto"/>
                <w:sz w:val="20"/>
                <w:szCs w:val="20"/>
              </w:rPr>
              <w:t>Not informed of their legal rights</w:t>
            </w:r>
          </w:p>
        </w:tc>
        <w:tc>
          <w:tcPr>
            <w:tcW w:w="1354" w:type="dxa"/>
            <w:tcBorders>
              <w:right w:val="single" w:sz="4" w:space="0" w:color="auto"/>
            </w:tcBorders>
          </w:tcPr>
          <w:p w:rsidR="00303D53" w:rsidRPr="003122A3" w:rsidRDefault="00303D53" w:rsidP="00224329">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163</w:t>
            </w:r>
          </w:p>
        </w:tc>
      </w:tr>
      <w:tr w:rsidR="00303D53" w:rsidRPr="003122A3" w:rsidTr="00FB2486">
        <w:trPr>
          <w:cnfStyle w:val="000000100000"/>
          <w:jc w:val="center"/>
        </w:trPr>
        <w:tc>
          <w:tcPr>
            <w:cnfStyle w:val="001000000000"/>
            <w:tcW w:w="3993" w:type="dxa"/>
            <w:tcBorders>
              <w:left w:val="single" w:sz="4" w:space="0" w:color="auto"/>
            </w:tcBorders>
          </w:tcPr>
          <w:p w:rsidR="00303D53" w:rsidRPr="00FB2486" w:rsidRDefault="00303D53" w:rsidP="00224329">
            <w:pPr>
              <w:spacing w:line="276" w:lineRule="auto"/>
              <w:rPr>
                <w:rFonts w:ascii="Times New Roman" w:hAnsi="Times New Roman"/>
                <w:b w:val="0"/>
                <w:bCs w:val="0"/>
                <w:color w:val="auto"/>
                <w:sz w:val="20"/>
                <w:szCs w:val="20"/>
              </w:rPr>
            </w:pPr>
            <w:r w:rsidRPr="00FB2486">
              <w:rPr>
                <w:rFonts w:ascii="Times New Roman" w:hAnsi="Times New Roman"/>
                <w:b w:val="0"/>
                <w:bCs w:val="0"/>
                <w:color w:val="auto"/>
                <w:sz w:val="20"/>
                <w:szCs w:val="20"/>
              </w:rPr>
              <w:t>Physical abuse</w:t>
            </w:r>
          </w:p>
        </w:tc>
        <w:tc>
          <w:tcPr>
            <w:tcW w:w="1247" w:type="dxa"/>
          </w:tcPr>
          <w:p w:rsidR="00303D53" w:rsidRPr="003122A3" w:rsidRDefault="00303D53" w:rsidP="00224329">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171</w:t>
            </w:r>
          </w:p>
        </w:tc>
        <w:tc>
          <w:tcPr>
            <w:tcW w:w="3035" w:type="dxa"/>
          </w:tcPr>
          <w:p w:rsidR="00303D53" w:rsidRPr="003122A3" w:rsidRDefault="00303D53" w:rsidP="00224329">
            <w:pPr>
              <w:spacing w:line="276" w:lineRule="auto"/>
              <w:cnfStyle w:val="000000100000"/>
              <w:rPr>
                <w:rFonts w:ascii="Times New Roman" w:hAnsi="Times New Roman"/>
                <w:color w:val="auto"/>
                <w:sz w:val="20"/>
                <w:szCs w:val="20"/>
              </w:rPr>
            </w:pPr>
            <w:r w:rsidRPr="003122A3">
              <w:rPr>
                <w:rFonts w:ascii="Times New Roman" w:hAnsi="Times New Roman"/>
                <w:color w:val="auto"/>
                <w:sz w:val="20"/>
                <w:szCs w:val="20"/>
              </w:rPr>
              <w:t>Searched naked</w:t>
            </w:r>
          </w:p>
        </w:tc>
        <w:tc>
          <w:tcPr>
            <w:tcW w:w="1354" w:type="dxa"/>
            <w:tcBorders>
              <w:right w:val="single" w:sz="4" w:space="0" w:color="auto"/>
            </w:tcBorders>
          </w:tcPr>
          <w:p w:rsidR="00303D53" w:rsidRPr="003122A3" w:rsidRDefault="00303D53" w:rsidP="00224329">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148</w:t>
            </w:r>
          </w:p>
        </w:tc>
      </w:tr>
      <w:tr w:rsidR="00303D53" w:rsidRPr="003122A3" w:rsidTr="00FB2486">
        <w:trPr>
          <w:jc w:val="center"/>
        </w:trPr>
        <w:tc>
          <w:tcPr>
            <w:cnfStyle w:val="001000000000"/>
            <w:tcW w:w="3993" w:type="dxa"/>
            <w:tcBorders>
              <w:left w:val="single" w:sz="4" w:space="0" w:color="auto"/>
            </w:tcBorders>
          </w:tcPr>
          <w:p w:rsidR="00303D53" w:rsidRPr="00FB2486" w:rsidRDefault="00303D53" w:rsidP="00224329">
            <w:pPr>
              <w:spacing w:line="276" w:lineRule="auto"/>
              <w:rPr>
                <w:rFonts w:ascii="Times New Roman" w:hAnsi="Times New Roman"/>
                <w:b w:val="0"/>
                <w:bCs w:val="0"/>
                <w:color w:val="auto"/>
                <w:sz w:val="20"/>
                <w:szCs w:val="20"/>
              </w:rPr>
            </w:pPr>
            <w:r w:rsidRPr="00FB2486">
              <w:rPr>
                <w:rFonts w:ascii="Times New Roman" w:hAnsi="Times New Roman"/>
                <w:b w:val="0"/>
                <w:bCs w:val="0"/>
                <w:color w:val="auto"/>
                <w:sz w:val="20"/>
                <w:szCs w:val="20"/>
              </w:rPr>
              <w:t>Verbal violence and abuse</w:t>
            </w:r>
          </w:p>
        </w:tc>
        <w:tc>
          <w:tcPr>
            <w:tcW w:w="1247" w:type="dxa"/>
          </w:tcPr>
          <w:p w:rsidR="00303D53" w:rsidRPr="003122A3" w:rsidRDefault="00303D53" w:rsidP="00224329">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144</w:t>
            </w:r>
          </w:p>
        </w:tc>
        <w:tc>
          <w:tcPr>
            <w:tcW w:w="3035" w:type="dxa"/>
          </w:tcPr>
          <w:p w:rsidR="00303D53" w:rsidRPr="003122A3" w:rsidRDefault="00303D53" w:rsidP="00224329">
            <w:pPr>
              <w:spacing w:line="276" w:lineRule="auto"/>
              <w:cnfStyle w:val="000000000000"/>
              <w:rPr>
                <w:rFonts w:ascii="Times New Roman" w:hAnsi="Times New Roman"/>
                <w:color w:val="auto"/>
                <w:sz w:val="20"/>
                <w:szCs w:val="20"/>
              </w:rPr>
            </w:pPr>
            <w:r w:rsidRPr="003122A3">
              <w:rPr>
                <w:rFonts w:ascii="Times New Roman" w:hAnsi="Times New Roman"/>
                <w:color w:val="auto"/>
                <w:sz w:val="20"/>
                <w:szCs w:val="20"/>
              </w:rPr>
              <w:t>Solitary confinement</w:t>
            </w:r>
          </w:p>
        </w:tc>
        <w:tc>
          <w:tcPr>
            <w:tcW w:w="1354" w:type="dxa"/>
            <w:tcBorders>
              <w:right w:val="single" w:sz="4" w:space="0" w:color="auto"/>
            </w:tcBorders>
          </w:tcPr>
          <w:p w:rsidR="00303D53" w:rsidRPr="003122A3" w:rsidRDefault="00303D53" w:rsidP="00224329">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28</w:t>
            </w:r>
          </w:p>
        </w:tc>
      </w:tr>
      <w:tr w:rsidR="00303D53" w:rsidRPr="003122A3" w:rsidTr="00FB2486">
        <w:trPr>
          <w:cnfStyle w:val="000000100000"/>
          <w:jc w:val="center"/>
        </w:trPr>
        <w:tc>
          <w:tcPr>
            <w:cnfStyle w:val="001000000000"/>
            <w:tcW w:w="3993" w:type="dxa"/>
            <w:tcBorders>
              <w:left w:val="single" w:sz="4" w:space="0" w:color="auto"/>
            </w:tcBorders>
          </w:tcPr>
          <w:p w:rsidR="00303D53" w:rsidRPr="00FB2486" w:rsidRDefault="00303D53" w:rsidP="00224329">
            <w:pPr>
              <w:spacing w:line="276" w:lineRule="auto"/>
              <w:rPr>
                <w:rFonts w:ascii="Times New Roman" w:hAnsi="Times New Roman"/>
                <w:b w:val="0"/>
                <w:bCs w:val="0"/>
                <w:color w:val="auto"/>
                <w:sz w:val="20"/>
                <w:szCs w:val="20"/>
              </w:rPr>
            </w:pPr>
            <w:r w:rsidRPr="00FB2486">
              <w:rPr>
                <w:rFonts w:ascii="Times New Roman" w:hAnsi="Times New Roman"/>
                <w:b w:val="0"/>
                <w:bCs w:val="0"/>
                <w:color w:val="auto"/>
                <w:sz w:val="20"/>
                <w:szCs w:val="20"/>
              </w:rPr>
              <w:t>Placed on van floor upon transportation from detention center to police department</w:t>
            </w:r>
          </w:p>
        </w:tc>
        <w:tc>
          <w:tcPr>
            <w:tcW w:w="1247" w:type="dxa"/>
          </w:tcPr>
          <w:p w:rsidR="00303D53" w:rsidRPr="003122A3" w:rsidRDefault="00303D53" w:rsidP="00224329">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89</w:t>
            </w:r>
          </w:p>
        </w:tc>
        <w:tc>
          <w:tcPr>
            <w:tcW w:w="3035" w:type="dxa"/>
          </w:tcPr>
          <w:p w:rsidR="00303D53" w:rsidRPr="003122A3" w:rsidRDefault="00303D53" w:rsidP="00224329">
            <w:pPr>
              <w:spacing w:line="276" w:lineRule="auto"/>
              <w:cnfStyle w:val="000000100000"/>
              <w:rPr>
                <w:rFonts w:ascii="Times New Roman" w:hAnsi="Times New Roman"/>
                <w:color w:val="auto"/>
                <w:sz w:val="20"/>
                <w:szCs w:val="20"/>
              </w:rPr>
            </w:pPr>
            <w:r w:rsidRPr="003122A3">
              <w:rPr>
                <w:rFonts w:ascii="Times New Roman" w:hAnsi="Times New Roman"/>
                <w:color w:val="auto"/>
                <w:sz w:val="20"/>
                <w:szCs w:val="20"/>
              </w:rPr>
              <w:t>Forced to sign confessions</w:t>
            </w:r>
          </w:p>
        </w:tc>
        <w:tc>
          <w:tcPr>
            <w:tcW w:w="1354" w:type="dxa"/>
            <w:tcBorders>
              <w:right w:val="single" w:sz="4" w:space="0" w:color="auto"/>
            </w:tcBorders>
          </w:tcPr>
          <w:p w:rsidR="00303D53" w:rsidRPr="003122A3" w:rsidRDefault="00303D53" w:rsidP="00224329">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63</w:t>
            </w:r>
          </w:p>
        </w:tc>
      </w:tr>
      <w:tr w:rsidR="00303D53" w:rsidRPr="003122A3" w:rsidTr="00FB2486">
        <w:trPr>
          <w:jc w:val="center"/>
        </w:trPr>
        <w:tc>
          <w:tcPr>
            <w:cnfStyle w:val="001000000000"/>
            <w:tcW w:w="3993" w:type="dxa"/>
            <w:tcBorders>
              <w:left w:val="single" w:sz="4" w:space="0" w:color="auto"/>
              <w:bottom w:val="single" w:sz="4" w:space="0" w:color="auto"/>
            </w:tcBorders>
          </w:tcPr>
          <w:p w:rsidR="00303D53" w:rsidRPr="00FB2486" w:rsidRDefault="00303D53" w:rsidP="00224329">
            <w:pPr>
              <w:spacing w:line="276" w:lineRule="auto"/>
              <w:rPr>
                <w:rFonts w:ascii="Times New Roman" w:hAnsi="Times New Roman"/>
                <w:b w:val="0"/>
                <w:bCs w:val="0"/>
                <w:color w:val="auto"/>
                <w:sz w:val="20"/>
                <w:szCs w:val="20"/>
              </w:rPr>
            </w:pPr>
            <w:r w:rsidRPr="00FB2486">
              <w:rPr>
                <w:rFonts w:ascii="Times New Roman" w:hAnsi="Times New Roman"/>
                <w:b w:val="0"/>
                <w:bCs w:val="0"/>
                <w:color w:val="auto"/>
                <w:sz w:val="20"/>
                <w:szCs w:val="20"/>
              </w:rPr>
              <w:t>Arrested at night</w:t>
            </w:r>
          </w:p>
        </w:tc>
        <w:tc>
          <w:tcPr>
            <w:tcW w:w="1247" w:type="dxa"/>
            <w:tcBorders>
              <w:bottom w:val="single" w:sz="4" w:space="0" w:color="auto"/>
            </w:tcBorders>
          </w:tcPr>
          <w:p w:rsidR="00303D53" w:rsidRPr="003122A3" w:rsidRDefault="00303D53" w:rsidP="00224329">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79</w:t>
            </w:r>
          </w:p>
        </w:tc>
        <w:tc>
          <w:tcPr>
            <w:tcW w:w="3035" w:type="dxa"/>
            <w:tcBorders>
              <w:bottom w:val="single" w:sz="4" w:space="0" w:color="auto"/>
            </w:tcBorders>
          </w:tcPr>
          <w:p w:rsidR="00303D53" w:rsidRPr="003122A3" w:rsidRDefault="00303D53" w:rsidP="00224329">
            <w:pPr>
              <w:spacing w:line="276" w:lineRule="auto"/>
              <w:cnfStyle w:val="000000000000"/>
              <w:rPr>
                <w:rFonts w:ascii="Times New Roman" w:hAnsi="Times New Roman"/>
                <w:color w:val="auto"/>
                <w:sz w:val="20"/>
                <w:szCs w:val="20"/>
              </w:rPr>
            </w:pPr>
          </w:p>
        </w:tc>
        <w:tc>
          <w:tcPr>
            <w:tcW w:w="1354" w:type="dxa"/>
            <w:tcBorders>
              <w:bottom w:val="single" w:sz="4" w:space="0" w:color="auto"/>
              <w:right w:val="single" w:sz="4" w:space="0" w:color="auto"/>
            </w:tcBorders>
          </w:tcPr>
          <w:p w:rsidR="00303D53" w:rsidRPr="003122A3" w:rsidRDefault="00303D53" w:rsidP="00224329">
            <w:pPr>
              <w:spacing w:line="276" w:lineRule="auto"/>
              <w:jc w:val="center"/>
              <w:cnfStyle w:val="000000000000"/>
              <w:rPr>
                <w:rFonts w:ascii="Times New Roman" w:hAnsi="Times New Roman"/>
                <w:color w:val="auto"/>
                <w:sz w:val="20"/>
                <w:szCs w:val="20"/>
              </w:rPr>
            </w:pPr>
          </w:p>
        </w:tc>
      </w:tr>
    </w:tbl>
    <w:p w:rsidR="00303D53" w:rsidRPr="003122A3" w:rsidRDefault="00303D53" w:rsidP="008E657F">
      <w:pPr>
        <w:jc w:val="both"/>
        <w:rPr>
          <w:rFonts w:ascii="Times New Roman" w:hAnsi="Times New Roman" w:cs="Times New Roman"/>
          <w:sz w:val="10"/>
          <w:szCs w:val="10"/>
        </w:rPr>
      </w:pPr>
    </w:p>
    <w:p w:rsidR="00303D53" w:rsidRPr="003122A3" w:rsidRDefault="00303D53" w:rsidP="002A6C92">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 xml:space="preserve">Evidence collected by DCI showed that more than three quarters of </w:t>
      </w:r>
      <w:proofErr w:type="spellStart"/>
      <w:r w:rsidRPr="003122A3">
        <w:rPr>
          <w:rFonts w:ascii="Times New Roman" w:hAnsi="Times New Roman" w:cs="Times New Roman"/>
          <w:sz w:val="24"/>
          <w:szCs w:val="24"/>
        </w:rPr>
        <w:t>Palstinian</w:t>
      </w:r>
      <w:proofErr w:type="spellEnd"/>
      <w:r w:rsidRPr="003122A3">
        <w:rPr>
          <w:rFonts w:ascii="Times New Roman" w:hAnsi="Times New Roman" w:cs="Times New Roman"/>
          <w:sz w:val="24"/>
          <w:szCs w:val="24"/>
        </w:rPr>
        <w:t xml:space="preserve"> children detained by the Israeli authorities in 2014 </w:t>
      </w:r>
      <w:proofErr w:type="spellStart"/>
      <w:r w:rsidRPr="003122A3">
        <w:rPr>
          <w:rFonts w:ascii="Times New Roman" w:hAnsi="Times New Roman" w:cs="Times New Roman"/>
          <w:sz w:val="24"/>
          <w:szCs w:val="24"/>
        </w:rPr>
        <w:t>endrued</w:t>
      </w:r>
      <w:proofErr w:type="spellEnd"/>
      <w:r w:rsidRPr="003122A3">
        <w:rPr>
          <w:rFonts w:ascii="Times New Roman" w:hAnsi="Times New Roman" w:cs="Times New Roman"/>
          <w:sz w:val="24"/>
          <w:szCs w:val="24"/>
        </w:rPr>
        <w:t xml:space="preserve"> a form of physical abuse during their arrest and interrogation and that they were searched naked. 93.0% of cases of children were denied access to legal advice and seldom were they informed of their right not to incriminate themselves. The most worrying experience was long solitary confinement for interrogation purposes.</w:t>
      </w:r>
      <w:r w:rsidRPr="003122A3">
        <w:rPr>
          <w:rStyle w:val="FootnoteReference"/>
          <w:rFonts w:ascii="Times New Roman" w:hAnsi="Times New Roman" w:cs="Times New Roman"/>
          <w:sz w:val="24"/>
          <w:szCs w:val="24"/>
          <w:rtl/>
        </w:rPr>
        <w:t xml:space="preserve"> </w:t>
      </w:r>
      <w:r w:rsidRPr="003122A3">
        <w:rPr>
          <w:rStyle w:val="FootnoteReference"/>
          <w:rFonts w:ascii="Times New Roman" w:hAnsi="Times New Roman" w:cs="Times New Roman"/>
          <w:sz w:val="24"/>
          <w:szCs w:val="24"/>
          <w:rtl/>
        </w:rPr>
        <w:footnoteReference w:id="42"/>
      </w:r>
    </w:p>
    <w:p w:rsidR="002A6C92" w:rsidRDefault="002A6C92" w:rsidP="009914CC">
      <w:pPr>
        <w:pStyle w:val="Heading2"/>
        <w:ind w:firstLineChars="0" w:firstLine="0"/>
        <w:jc w:val="left"/>
        <w:rPr>
          <w:rFonts w:ascii="Times New Roman" w:hAnsi="Times New Roman" w:cs="Times New Roman"/>
          <w:sz w:val="24"/>
          <w:szCs w:val="24"/>
        </w:rPr>
      </w:pPr>
      <w:bookmarkStart w:id="71" w:name="_Toc420244997"/>
    </w:p>
    <w:p w:rsidR="002A6C92" w:rsidRPr="002A6C92" w:rsidRDefault="002A6C92" w:rsidP="002A6C92">
      <w:pPr>
        <w:rPr>
          <w:lang w:eastAsia="ar-SA"/>
        </w:rPr>
      </w:pPr>
    </w:p>
    <w:p w:rsidR="007F3231" w:rsidRPr="003122A3" w:rsidRDefault="00303D53" w:rsidP="009914CC">
      <w:pPr>
        <w:pStyle w:val="Heading2"/>
        <w:ind w:firstLineChars="0" w:firstLine="0"/>
        <w:jc w:val="left"/>
        <w:rPr>
          <w:rFonts w:ascii="Times New Roman" w:hAnsi="Times New Roman" w:cs="Times New Roman"/>
        </w:rPr>
      </w:pPr>
      <w:r w:rsidRPr="003122A3">
        <w:rPr>
          <w:rFonts w:ascii="Times New Roman" w:hAnsi="Times New Roman" w:cs="Times New Roman"/>
          <w:sz w:val="24"/>
          <w:szCs w:val="24"/>
        </w:rPr>
        <w:t>5.4 The Recruitment and Use of Children as Informants or Human Shields</w:t>
      </w:r>
      <w:bookmarkEnd w:id="71"/>
    </w:p>
    <w:p w:rsidR="009914CC" w:rsidRPr="003122A3" w:rsidRDefault="009914CC" w:rsidP="009914CC">
      <w:pPr>
        <w:spacing w:after="0"/>
        <w:jc w:val="both"/>
        <w:rPr>
          <w:rFonts w:ascii="Times New Roman" w:hAnsi="Times New Roman" w:cs="Times New Roman"/>
          <w:sz w:val="24"/>
          <w:szCs w:val="24"/>
        </w:rPr>
      </w:pPr>
    </w:p>
    <w:p w:rsidR="00303D53" w:rsidRPr="003122A3" w:rsidRDefault="00303D53" w:rsidP="002E6BCD">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In general, the reports that are filed in this regard are insufficient to reflect the real situation on the ground. There is an urgent need to educate children who are being arrested and to debrief them in a child-friendly way to prevent them from being recruited as informants. DCI in Palestine started since April 2004 documenting cases of Palestinian children used as human shields by the Israeli army. The same source reports that that vast majority of documented cases were chained after a ruling was issued by the Israeli Higher Court in October 2005 deeming the use of civilians as human shields illegal. 19 out of 20 cases were documented in the period between May 2006 and February 2013. Cases varied between chaining the child to the front of a military jeep for four hours during confrontations and compelling others to lead soldiers upon their entry into houses to search or during </w:t>
      </w:r>
      <w:proofErr w:type="spellStart"/>
      <w:r w:rsidRPr="003122A3">
        <w:rPr>
          <w:rFonts w:ascii="Times New Roman" w:hAnsi="Times New Roman" w:cs="Times New Roman"/>
          <w:sz w:val="24"/>
          <w:szCs w:val="24"/>
        </w:rPr>
        <w:t>confronations</w:t>
      </w:r>
      <w:proofErr w:type="spellEnd"/>
      <w:r w:rsidRPr="003122A3">
        <w:rPr>
          <w:rFonts w:ascii="Times New Roman" w:hAnsi="Times New Roman" w:cs="Times New Roman"/>
          <w:sz w:val="24"/>
          <w:szCs w:val="24"/>
        </w:rPr>
        <w:t>. They were held near military operations for over four days especially during the 2009 war against the Gaza Strip.</w:t>
      </w:r>
      <w:r w:rsidRPr="003122A3">
        <w:rPr>
          <w:rFonts w:ascii="Times New Roman" w:hAnsi="Times New Roman" w:cs="Times New Roman"/>
          <w:sz w:val="24"/>
          <w:szCs w:val="24"/>
          <w:vertAlign w:val="superscript"/>
          <w:rtl/>
        </w:rPr>
        <w:t xml:space="preserve"> </w:t>
      </w: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137701" w:rsidRPr="003122A3" w:rsidRDefault="00137701" w:rsidP="008E657F">
      <w:pPr>
        <w:jc w:val="both"/>
        <w:rPr>
          <w:rFonts w:ascii="Times New Roman" w:hAnsi="Times New Roman" w:cs="Times New Roman"/>
          <w:sz w:val="24"/>
          <w:szCs w:val="24"/>
          <w:rtl/>
        </w:rPr>
      </w:pPr>
    </w:p>
    <w:p w:rsidR="00137701" w:rsidRPr="003122A3" w:rsidRDefault="00137701" w:rsidP="008E657F">
      <w:pPr>
        <w:jc w:val="both"/>
        <w:rPr>
          <w:rFonts w:ascii="Times New Roman" w:hAnsi="Times New Roman" w:cs="Times New Roman"/>
          <w:sz w:val="24"/>
          <w:szCs w:val="24"/>
          <w:rtl/>
        </w:rPr>
      </w:pPr>
    </w:p>
    <w:p w:rsidR="00137701" w:rsidRPr="003122A3" w:rsidRDefault="00137701"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33142E" w:rsidRPr="003122A3" w:rsidRDefault="0033142E" w:rsidP="008E657F">
      <w:pPr>
        <w:jc w:val="both"/>
        <w:rPr>
          <w:rFonts w:ascii="Times New Roman" w:hAnsi="Times New Roman" w:cs="Times New Roman"/>
          <w:sz w:val="24"/>
          <w:szCs w:val="24"/>
          <w:rtl/>
        </w:rPr>
      </w:pPr>
    </w:p>
    <w:p w:rsidR="00F64E06" w:rsidRDefault="00F64E06" w:rsidP="009914CC">
      <w:pPr>
        <w:pStyle w:val="Heading1"/>
        <w:jc w:val="center"/>
        <w:rPr>
          <w:rFonts w:ascii="Times New Roman" w:hAnsi="Times New Roman" w:cs="Times New Roman"/>
          <w:b w:val="0"/>
          <w:bCs w:val="0"/>
          <w:color w:val="auto"/>
          <w:sz w:val="24"/>
          <w:szCs w:val="24"/>
        </w:rPr>
      </w:pPr>
      <w:bookmarkStart w:id="72" w:name="_Toc420244998"/>
    </w:p>
    <w:p w:rsidR="00F64E06" w:rsidRDefault="00F64E06" w:rsidP="00F64E06">
      <w:pPr>
        <w:rPr>
          <w:rFonts w:eastAsiaTheme="majorEastAsia"/>
        </w:rPr>
      </w:pPr>
      <w:r>
        <w:br w:type="page"/>
      </w:r>
    </w:p>
    <w:p w:rsidR="00F64E06" w:rsidRDefault="00F64E06" w:rsidP="009914CC">
      <w:pPr>
        <w:pStyle w:val="Heading1"/>
        <w:jc w:val="center"/>
        <w:rPr>
          <w:rFonts w:ascii="Times New Roman" w:hAnsi="Times New Roman" w:cs="Times New Roman"/>
          <w:b w:val="0"/>
          <w:bCs w:val="0"/>
          <w:color w:val="auto"/>
          <w:sz w:val="24"/>
          <w:szCs w:val="24"/>
        </w:rPr>
      </w:pPr>
    </w:p>
    <w:p w:rsidR="00F64E06" w:rsidRDefault="00F64E06" w:rsidP="00F64E06">
      <w:pPr>
        <w:rPr>
          <w:rFonts w:eastAsiaTheme="majorEastAsia"/>
        </w:rPr>
      </w:pPr>
      <w:r>
        <w:br w:type="page"/>
      </w:r>
    </w:p>
    <w:p w:rsidR="0033142E" w:rsidRPr="00833BD7" w:rsidRDefault="00303D53" w:rsidP="009914CC">
      <w:pPr>
        <w:pStyle w:val="Heading1"/>
        <w:jc w:val="center"/>
        <w:rPr>
          <w:rFonts w:ascii="Times New Roman" w:hAnsi="Times New Roman" w:cs="Times New Roman"/>
          <w:b w:val="0"/>
          <w:bCs w:val="0"/>
          <w:color w:val="auto"/>
          <w:sz w:val="24"/>
          <w:szCs w:val="24"/>
          <w:rtl/>
        </w:rPr>
      </w:pPr>
      <w:r w:rsidRPr="00833BD7">
        <w:rPr>
          <w:rFonts w:ascii="Times New Roman" w:hAnsi="Times New Roman" w:cs="Times New Roman"/>
          <w:b w:val="0"/>
          <w:bCs w:val="0"/>
          <w:color w:val="auto"/>
          <w:sz w:val="24"/>
          <w:szCs w:val="24"/>
        </w:rPr>
        <w:t>Chapter Six</w:t>
      </w:r>
      <w:bookmarkEnd w:id="72"/>
    </w:p>
    <w:p w:rsidR="00161472" w:rsidRPr="003122A3" w:rsidRDefault="00303D53" w:rsidP="009914CC">
      <w:pPr>
        <w:pStyle w:val="Heading1"/>
        <w:jc w:val="center"/>
        <w:rPr>
          <w:rFonts w:ascii="Times New Roman" w:hAnsi="Times New Roman" w:cs="Times New Roman"/>
          <w:color w:val="auto"/>
        </w:rPr>
      </w:pPr>
      <w:bookmarkStart w:id="73" w:name="_Toc420244999"/>
      <w:r w:rsidRPr="003122A3">
        <w:rPr>
          <w:rFonts w:ascii="Times New Roman" w:hAnsi="Times New Roman" w:cs="Times New Roman"/>
          <w:color w:val="auto"/>
        </w:rPr>
        <w:t>Protection</w:t>
      </w:r>
      <w:bookmarkEnd w:id="73"/>
    </w:p>
    <w:p w:rsidR="00161472" w:rsidRPr="00391F11" w:rsidRDefault="00161472" w:rsidP="008E657F">
      <w:pPr>
        <w:jc w:val="both"/>
        <w:rPr>
          <w:rFonts w:ascii="Times New Roman" w:hAnsi="Times New Roman" w:cs="Times New Roman"/>
          <w:b/>
          <w:bCs/>
          <w:sz w:val="24"/>
          <w:szCs w:val="24"/>
          <w:rtl/>
        </w:rPr>
      </w:pPr>
    </w:p>
    <w:p w:rsidR="00DE083B" w:rsidRPr="003122A3" w:rsidRDefault="00303D53" w:rsidP="00B85436">
      <w:pPr>
        <w:pStyle w:val="Heading2"/>
        <w:ind w:firstLineChars="0" w:firstLine="0"/>
        <w:jc w:val="left"/>
        <w:rPr>
          <w:rFonts w:ascii="Times New Roman" w:hAnsi="Times New Roman" w:cs="Times New Roman"/>
          <w:sz w:val="24"/>
          <w:szCs w:val="24"/>
        </w:rPr>
      </w:pPr>
      <w:bookmarkStart w:id="74" w:name="_Toc420245000"/>
      <w:r w:rsidRPr="003122A3">
        <w:rPr>
          <w:rFonts w:ascii="Times New Roman" w:hAnsi="Times New Roman" w:cs="Times New Roman"/>
          <w:sz w:val="24"/>
          <w:szCs w:val="24"/>
        </w:rPr>
        <w:t>6.1</w:t>
      </w:r>
      <w:r w:rsidR="00B85436" w:rsidRPr="003122A3">
        <w:rPr>
          <w:rFonts w:ascii="Times New Roman" w:hAnsi="Times New Roman" w:cs="Times New Roman"/>
          <w:sz w:val="24"/>
          <w:szCs w:val="24"/>
        </w:rPr>
        <w:t xml:space="preserve"> </w:t>
      </w:r>
      <w:r w:rsidRPr="003122A3">
        <w:rPr>
          <w:rFonts w:ascii="Times New Roman" w:hAnsi="Times New Roman" w:cs="Times New Roman"/>
          <w:sz w:val="24"/>
          <w:szCs w:val="24"/>
        </w:rPr>
        <w:t>Child Labor and Economic Exploitation</w:t>
      </w:r>
      <w:bookmarkEnd w:id="74"/>
    </w:p>
    <w:p w:rsidR="009914CC" w:rsidRPr="003122A3" w:rsidRDefault="009914CC" w:rsidP="00502F7E">
      <w:pPr>
        <w:spacing w:after="0"/>
        <w:jc w:val="both"/>
        <w:rPr>
          <w:rFonts w:ascii="Times New Roman" w:hAnsi="Times New Roman" w:cs="Times New Roman"/>
          <w:sz w:val="24"/>
          <w:szCs w:val="24"/>
        </w:rPr>
      </w:pPr>
    </w:p>
    <w:p w:rsidR="00303D53" w:rsidRDefault="00303D53" w:rsidP="00502F7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Article 14 of the Palestinian Child Law and Article 93 of the Palestinian Labor Law ban the employment of children under the age of fifteen years. Children aged 15-17 years may work subject to certain conditions, including limited work hours, the provision of semi-annual medical examinations and being banned from dangerous jobs. The Child Law was amended to include children working with first-degree relatives as child labor. As amended, Article 14 of the Palestinian Child Law reads:</w:t>
      </w:r>
      <w:r w:rsidRPr="003122A3">
        <w:rPr>
          <w:rStyle w:val="FootnoteReference"/>
          <w:rFonts w:ascii="Times New Roman" w:hAnsi="Times New Roman" w:cs="Times New Roman"/>
          <w:sz w:val="24"/>
          <w:szCs w:val="24"/>
        </w:rPr>
        <w:footnoteReference w:id="43"/>
      </w:r>
    </w:p>
    <w:p w:rsidR="00502F7E" w:rsidRPr="003122A3" w:rsidRDefault="00502F7E" w:rsidP="00502F7E">
      <w:pPr>
        <w:spacing w:after="0" w:line="240" w:lineRule="auto"/>
        <w:jc w:val="both"/>
        <w:rPr>
          <w:rFonts w:ascii="Times New Roman" w:hAnsi="Times New Roman" w:cs="Times New Roman"/>
          <w:sz w:val="24"/>
          <w:szCs w:val="24"/>
        </w:rPr>
      </w:pPr>
    </w:p>
    <w:p w:rsidR="00303D53" w:rsidRPr="00502F7E" w:rsidRDefault="00303D53" w:rsidP="00502F7E">
      <w:pPr>
        <w:pStyle w:val="ListParagraph"/>
        <w:numPr>
          <w:ilvl w:val="0"/>
          <w:numId w:val="11"/>
        </w:numPr>
        <w:spacing w:after="0" w:line="240" w:lineRule="auto"/>
        <w:jc w:val="both"/>
        <w:rPr>
          <w:rFonts w:ascii="Times New Roman" w:hAnsi="Times New Roman" w:cs="Times New Roman"/>
          <w:sz w:val="24"/>
          <w:szCs w:val="24"/>
        </w:rPr>
      </w:pPr>
      <w:r w:rsidRPr="00502F7E">
        <w:rPr>
          <w:rFonts w:ascii="Times New Roman" w:hAnsi="Times New Roman" w:cs="Times New Roman"/>
          <w:sz w:val="24"/>
          <w:szCs w:val="24"/>
        </w:rPr>
        <w:t>Taking into account the standards and controls referred to in the Labor Law and the regulations issued there under, the employment of children before the age of fifteen years is banned.</w:t>
      </w:r>
    </w:p>
    <w:p w:rsidR="00502F7E" w:rsidRPr="00502F7E" w:rsidRDefault="00502F7E" w:rsidP="00502F7E">
      <w:pPr>
        <w:pStyle w:val="ListParagraph"/>
        <w:spacing w:after="0" w:line="240" w:lineRule="auto"/>
        <w:jc w:val="both"/>
        <w:rPr>
          <w:rFonts w:ascii="Times New Roman" w:hAnsi="Times New Roman" w:cs="Times New Roman"/>
          <w:sz w:val="24"/>
          <w:szCs w:val="24"/>
        </w:rPr>
      </w:pPr>
    </w:p>
    <w:p w:rsidR="00303D53" w:rsidRPr="00502F7E" w:rsidRDefault="00303D53" w:rsidP="00502F7E">
      <w:pPr>
        <w:pStyle w:val="ListParagraph"/>
        <w:numPr>
          <w:ilvl w:val="0"/>
          <w:numId w:val="11"/>
        </w:numPr>
        <w:spacing w:after="0" w:line="240" w:lineRule="auto"/>
        <w:jc w:val="both"/>
        <w:rPr>
          <w:rFonts w:ascii="Times New Roman" w:hAnsi="Times New Roman" w:cs="Times New Roman"/>
          <w:sz w:val="24"/>
          <w:szCs w:val="24"/>
        </w:rPr>
      </w:pPr>
      <w:r w:rsidRPr="00502F7E">
        <w:rPr>
          <w:rFonts w:ascii="Times New Roman" w:hAnsi="Times New Roman" w:cs="Times New Roman"/>
          <w:sz w:val="24"/>
          <w:szCs w:val="24"/>
        </w:rPr>
        <w:t>The employment of children or using them or assigning any hazardous acts or occupations or other businesses and professions defined by the Ministry of Labor that would hinder their education or damage their safety or their physical or mental health, including work with first degree relatives, are prohibited.</w:t>
      </w:r>
    </w:p>
    <w:p w:rsidR="00502F7E" w:rsidRPr="00502F7E" w:rsidRDefault="00502F7E" w:rsidP="00502F7E">
      <w:pPr>
        <w:pStyle w:val="ListParagraph"/>
        <w:rPr>
          <w:rFonts w:ascii="Times New Roman" w:hAnsi="Times New Roman" w:cs="Times New Roman"/>
          <w:sz w:val="24"/>
          <w:szCs w:val="24"/>
        </w:rPr>
      </w:pPr>
    </w:p>
    <w:p w:rsidR="00502F7E" w:rsidRPr="00502F7E" w:rsidRDefault="00502F7E" w:rsidP="00502F7E">
      <w:pPr>
        <w:pStyle w:val="ListParagraph"/>
        <w:spacing w:after="0" w:line="240" w:lineRule="auto"/>
        <w:jc w:val="both"/>
        <w:rPr>
          <w:rFonts w:ascii="Times New Roman" w:hAnsi="Times New Roman" w:cs="Times New Roman"/>
          <w:sz w:val="24"/>
          <w:szCs w:val="24"/>
        </w:rPr>
      </w:pPr>
    </w:p>
    <w:p w:rsidR="00303D53" w:rsidRPr="00502F7E" w:rsidRDefault="00303D53" w:rsidP="00502F7E">
      <w:pPr>
        <w:pStyle w:val="ListParagraph"/>
        <w:numPr>
          <w:ilvl w:val="0"/>
          <w:numId w:val="11"/>
        </w:numPr>
        <w:spacing w:after="0" w:line="240" w:lineRule="auto"/>
        <w:jc w:val="both"/>
        <w:rPr>
          <w:rFonts w:ascii="Times New Roman" w:hAnsi="Times New Roman" w:cs="Times New Roman"/>
          <w:sz w:val="24"/>
          <w:szCs w:val="24"/>
        </w:rPr>
      </w:pPr>
      <w:r w:rsidRPr="00502F7E">
        <w:rPr>
          <w:rFonts w:ascii="Times New Roman" w:hAnsi="Times New Roman" w:cs="Times New Roman"/>
          <w:sz w:val="24"/>
          <w:szCs w:val="24"/>
        </w:rPr>
        <w:t>Punishable by a fine of not less than one thousand Jordanian dinars and not more than two thousands Jordanian dinars for anyone who violates the provisions of this article, and with multiple punishments as per the number of children employed, and to be doubled in the case of repetition of the violation. In addition, in the event of repeat violations and upon the recommendation of the Minister of Social Affairs, the Minister of Labor shall, close the establishment partially or completely.</w:t>
      </w:r>
    </w:p>
    <w:p w:rsidR="00502F7E" w:rsidRPr="00502F7E" w:rsidRDefault="00502F7E" w:rsidP="00502F7E">
      <w:pPr>
        <w:pStyle w:val="ListParagraph"/>
        <w:spacing w:after="0" w:line="240" w:lineRule="auto"/>
        <w:jc w:val="both"/>
        <w:rPr>
          <w:rFonts w:ascii="Times New Roman" w:hAnsi="Times New Roman" w:cs="Times New Roman"/>
          <w:sz w:val="24"/>
          <w:szCs w:val="24"/>
        </w:rPr>
      </w:pPr>
    </w:p>
    <w:p w:rsidR="00303D53" w:rsidRPr="003122A3" w:rsidRDefault="00303D53" w:rsidP="00502F7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contrast, Article 37 of the Child Law states that every child has the right to educate  through secondary school (18 years old) and that the government should take the necessary measures to prevent children from dropping out of school. However, many children, especially students with low academic performance, tend to drop out of school to work, especially if payment is relatively high as it is in Israel, in Israeli settlements or in Jerusalem. The Ministry of Social Affairs is pursuing this issue in relation to children under the age of fifteen years, while the Ministry of Labor monitors actions with regard to children over the age of fifteen. Data is not available for children who work as beggars, but this does not undermine the importance of the issue, and more attention is needed in this regard.</w:t>
      </w:r>
    </w:p>
    <w:p w:rsidR="00137701" w:rsidRPr="003122A3" w:rsidRDefault="00137701" w:rsidP="008E657F">
      <w:pPr>
        <w:jc w:val="both"/>
        <w:rPr>
          <w:rFonts w:ascii="Times New Roman" w:hAnsi="Times New Roman" w:cs="Times New Roman"/>
          <w:b/>
          <w:bCs/>
          <w:sz w:val="24"/>
          <w:szCs w:val="24"/>
        </w:rPr>
      </w:pPr>
    </w:p>
    <w:p w:rsidR="00881ABF" w:rsidRDefault="00881ABF" w:rsidP="008E657F">
      <w:pPr>
        <w:jc w:val="both"/>
        <w:rPr>
          <w:rFonts w:ascii="Times New Roman" w:hAnsi="Times New Roman" w:cs="Times New Roman"/>
          <w:b/>
          <w:bCs/>
          <w:sz w:val="24"/>
          <w:szCs w:val="24"/>
        </w:rPr>
      </w:pPr>
    </w:p>
    <w:p w:rsidR="00502F7E" w:rsidRDefault="00502F7E" w:rsidP="008E657F">
      <w:pPr>
        <w:jc w:val="both"/>
        <w:rPr>
          <w:rFonts w:ascii="Times New Roman" w:hAnsi="Times New Roman" w:cs="Times New Roman"/>
          <w:b/>
          <w:bCs/>
          <w:sz w:val="24"/>
          <w:szCs w:val="24"/>
        </w:rPr>
      </w:pPr>
    </w:p>
    <w:p w:rsidR="00502F7E" w:rsidRPr="003122A3" w:rsidRDefault="00502F7E" w:rsidP="008E657F">
      <w:pPr>
        <w:jc w:val="both"/>
        <w:rPr>
          <w:rFonts w:ascii="Times New Roman" w:hAnsi="Times New Roman" w:cs="Times New Roman"/>
          <w:b/>
          <w:bCs/>
          <w:sz w:val="24"/>
          <w:szCs w:val="24"/>
          <w:rtl/>
        </w:rPr>
      </w:pPr>
    </w:p>
    <w:p w:rsidR="00666116" w:rsidRPr="003122A3" w:rsidRDefault="00303D53"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Working Child</w:t>
      </w:r>
      <w:r w:rsidR="00F82A64">
        <w:rPr>
          <w:rFonts w:ascii="Times New Roman" w:hAnsi="Times New Roman" w:cs="Times New Roman"/>
          <w:b/>
          <w:bCs/>
          <w:sz w:val="24"/>
          <w:szCs w:val="24"/>
        </w:rPr>
        <w:t>ren</w:t>
      </w:r>
    </w:p>
    <w:p w:rsidR="00303D53" w:rsidRDefault="00303D53" w:rsidP="00502F7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Children work in </w:t>
      </w:r>
      <w:proofErr w:type="spellStart"/>
      <w:r w:rsidRPr="003122A3">
        <w:rPr>
          <w:rFonts w:ascii="Times New Roman" w:hAnsi="Times New Roman" w:cs="Times New Roman"/>
          <w:sz w:val="24"/>
          <w:szCs w:val="24"/>
        </w:rPr>
        <w:t>dffierent</w:t>
      </w:r>
      <w:proofErr w:type="spellEnd"/>
      <w:r w:rsidRPr="003122A3">
        <w:rPr>
          <w:rFonts w:ascii="Times New Roman" w:hAnsi="Times New Roman" w:cs="Times New Roman"/>
          <w:sz w:val="24"/>
          <w:szCs w:val="24"/>
        </w:rPr>
        <w:t xml:space="preserve"> sectors including agriculture, fishing, trade, restaurants, hotels and others. The percentage of working children (10-14 years old) reached 1.6% in 2014 and was 2.1% in 2009. In the age group 15-17 years, it reached 7.5% in 2014 and was 6.4% in 2009. As for working children not enrolled in education, the rate for both age groups was 16.2% and </w:t>
      </w:r>
      <w:r w:rsidR="000024C4" w:rsidRPr="003122A3">
        <w:rPr>
          <w:rFonts w:ascii="Times New Roman" w:hAnsi="Times New Roman" w:cs="Times New Roman"/>
          <w:sz w:val="24"/>
          <w:szCs w:val="24"/>
        </w:rPr>
        <w:t>30</w:t>
      </w:r>
      <w:r w:rsidRPr="003122A3">
        <w:rPr>
          <w:rFonts w:ascii="Times New Roman" w:hAnsi="Times New Roman" w:cs="Times New Roman"/>
          <w:sz w:val="24"/>
          <w:szCs w:val="24"/>
        </w:rPr>
        <w:t>.</w:t>
      </w:r>
      <w:r w:rsidR="000024C4" w:rsidRPr="003122A3">
        <w:rPr>
          <w:rFonts w:ascii="Times New Roman" w:hAnsi="Times New Roman" w:cs="Times New Roman"/>
          <w:sz w:val="24"/>
          <w:szCs w:val="24"/>
        </w:rPr>
        <w:t>8</w:t>
      </w:r>
      <w:r w:rsidRPr="003122A3">
        <w:rPr>
          <w:rFonts w:ascii="Times New Roman" w:hAnsi="Times New Roman" w:cs="Times New Roman"/>
          <w:sz w:val="24"/>
          <w:szCs w:val="24"/>
        </w:rPr>
        <w:t>% respectively in 2014. The percentage of children who work while still attending school was 1</w:t>
      </w:r>
      <w:r w:rsidR="000024C4" w:rsidRPr="003122A3">
        <w:rPr>
          <w:rFonts w:ascii="Times New Roman" w:hAnsi="Times New Roman" w:cs="Times New Roman"/>
          <w:sz w:val="24"/>
          <w:szCs w:val="24"/>
        </w:rPr>
        <w:t>.</w:t>
      </w:r>
      <w:r w:rsidRPr="003122A3">
        <w:rPr>
          <w:rFonts w:ascii="Times New Roman" w:hAnsi="Times New Roman" w:cs="Times New Roman"/>
          <w:sz w:val="24"/>
          <w:szCs w:val="24"/>
        </w:rPr>
        <w:t>3% for the age group 10-14 years in the same year and 2.8% for the age group 15-17 years.</w:t>
      </w:r>
    </w:p>
    <w:p w:rsidR="00502F7E" w:rsidRPr="003122A3" w:rsidRDefault="00502F7E" w:rsidP="00502F7E">
      <w:pPr>
        <w:spacing w:after="0" w:line="240" w:lineRule="auto"/>
        <w:jc w:val="both"/>
        <w:rPr>
          <w:rFonts w:ascii="Times New Roman" w:hAnsi="Times New Roman" w:cs="Times New Roman"/>
          <w:sz w:val="24"/>
          <w:szCs w:val="24"/>
          <w:rtl/>
        </w:rPr>
      </w:pPr>
    </w:p>
    <w:p w:rsidR="00D363A8" w:rsidRPr="003122A3" w:rsidRDefault="00D363A8" w:rsidP="000024C4">
      <w:pPr>
        <w:pStyle w:val="Caption"/>
        <w:bidi w:val="0"/>
        <w:rPr>
          <w:sz w:val="22"/>
          <w:szCs w:val="22"/>
        </w:rPr>
      </w:pPr>
      <w:bookmarkStart w:id="75" w:name="_Toc420268240"/>
      <w:r w:rsidRPr="003122A3">
        <w:rPr>
          <w:sz w:val="22"/>
          <w:szCs w:val="22"/>
        </w:rPr>
        <w:t>Figure</w:t>
      </w:r>
      <w:r w:rsidR="000024C4"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26</w:t>
      </w:r>
      <w:r w:rsidR="008F57C8" w:rsidRPr="003122A3">
        <w:rPr>
          <w:sz w:val="22"/>
          <w:szCs w:val="22"/>
          <w:rtl/>
        </w:rPr>
        <w:fldChar w:fldCharType="end"/>
      </w:r>
      <w:r w:rsidRPr="003122A3">
        <w:rPr>
          <w:sz w:val="22"/>
          <w:szCs w:val="22"/>
        </w:rPr>
        <w:t xml:space="preserve">: Percentage of Working Children 10-17 Years by Region, Age and </w:t>
      </w:r>
      <w:r w:rsidR="000024C4" w:rsidRPr="003122A3">
        <w:rPr>
          <w:sz w:val="22"/>
          <w:szCs w:val="22"/>
        </w:rPr>
        <w:t>Sex</w:t>
      </w:r>
      <w:r w:rsidRPr="003122A3">
        <w:rPr>
          <w:sz w:val="22"/>
          <w:szCs w:val="22"/>
        </w:rPr>
        <w:t>, 2009, 2014</w:t>
      </w:r>
      <w:bookmarkEnd w:id="75"/>
    </w:p>
    <w:p w:rsidR="00666116" w:rsidRPr="003122A3" w:rsidRDefault="00666116" w:rsidP="00B85436">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758120" cy="2173857"/>
            <wp:effectExtent l="57150" t="0" r="71180" b="93093"/>
            <wp:docPr id="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666116" w:rsidRPr="003122A3" w:rsidRDefault="00666116" w:rsidP="00B85436">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754945" cy="1880559"/>
            <wp:effectExtent l="57150" t="0" r="74355" b="100641"/>
            <wp:docPr id="10"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666116" w:rsidRPr="003122A3" w:rsidRDefault="00052D29" w:rsidP="001626A8">
      <w:pPr>
        <w:jc w:val="both"/>
        <w:rPr>
          <w:rFonts w:ascii="Times New Roman" w:hAnsi="Times New Roman" w:cs="Times New Roman"/>
          <w:sz w:val="18"/>
          <w:szCs w:val="18"/>
          <w:rtl/>
        </w:rPr>
      </w:pPr>
      <w:r w:rsidRPr="003122A3">
        <w:rPr>
          <w:rFonts w:ascii="Times New Roman" w:hAnsi="Times New Roman" w:cs="Times New Roman"/>
          <w:sz w:val="18"/>
          <w:szCs w:val="18"/>
          <w:rtl/>
        </w:rPr>
        <w:t xml:space="preserve">   </w:t>
      </w:r>
      <w:r w:rsidR="001626A8" w:rsidRPr="003122A3">
        <w:rPr>
          <w:rFonts w:ascii="Times New Roman" w:hAnsi="Times New Roman" w:cs="Times New Roman"/>
          <w:sz w:val="18"/>
          <w:szCs w:val="18"/>
        </w:rPr>
        <w:t xml:space="preserve">    </w:t>
      </w:r>
      <w:r w:rsidR="00303D53" w:rsidRPr="003122A3">
        <w:rPr>
          <w:rFonts w:ascii="Times New Roman" w:hAnsi="Times New Roman" w:cs="Times New Roman"/>
          <w:sz w:val="18"/>
          <w:szCs w:val="18"/>
        </w:rPr>
        <w:t>Source: PCBS, 2015: Labor Force Survey Data, 2009 and 2014</w:t>
      </w:r>
    </w:p>
    <w:p w:rsidR="0033142E" w:rsidRPr="003122A3" w:rsidRDefault="0033142E" w:rsidP="008E657F">
      <w:pPr>
        <w:jc w:val="both"/>
        <w:rPr>
          <w:rFonts w:ascii="Times New Roman" w:hAnsi="Times New Roman" w:cs="Times New Roman"/>
          <w:sz w:val="18"/>
          <w:szCs w:val="18"/>
          <w:rtl/>
        </w:rPr>
      </w:pPr>
    </w:p>
    <w:p w:rsidR="00137701" w:rsidRPr="003122A3" w:rsidRDefault="00137701" w:rsidP="008E657F">
      <w:pPr>
        <w:jc w:val="both"/>
        <w:rPr>
          <w:rFonts w:ascii="Times New Roman" w:hAnsi="Times New Roman" w:cs="Times New Roman"/>
          <w:b/>
          <w:bCs/>
          <w:sz w:val="24"/>
          <w:szCs w:val="24"/>
          <w:rtl/>
        </w:rPr>
      </w:pPr>
    </w:p>
    <w:p w:rsidR="00A647F1" w:rsidRPr="003122A3" w:rsidRDefault="00A647F1" w:rsidP="008E657F">
      <w:pPr>
        <w:jc w:val="both"/>
        <w:rPr>
          <w:rFonts w:ascii="Times New Roman" w:hAnsi="Times New Roman" w:cs="Times New Roman"/>
          <w:b/>
          <w:bCs/>
          <w:sz w:val="24"/>
          <w:szCs w:val="24"/>
        </w:rPr>
      </w:pPr>
    </w:p>
    <w:p w:rsidR="00881ABF" w:rsidRPr="003122A3" w:rsidRDefault="00881ABF" w:rsidP="008E657F">
      <w:pPr>
        <w:jc w:val="both"/>
        <w:rPr>
          <w:rFonts w:ascii="Times New Roman" w:hAnsi="Times New Roman" w:cs="Times New Roman"/>
          <w:b/>
          <w:bCs/>
          <w:sz w:val="24"/>
          <w:szCs w:val="24"/>
        </w:rPr>
      </w:pPr>
    </w:p>
    <w:p w:rsidR="00881ABF" w:rsidRPr="003122A3" w:rsidRDefault="00881ABF" w:rsidP="008E657F">
      <w:pPr>
        <w:jc w:val="both"/>
        <w:rPr>
          <w:rFonts w:ascii="Times New Roman" w:hAnsi="Times New Roman" w:cs="Times New Roman"/>
          <w:b/>
          <w:bCs/>
          <w:sz w:val="24"/>
          <w:szCs w:val="24"/>
          <w:rtl/>
        </w:rPr>
      </w:pPr>
    </w:p>
    <w:p w:rsidR="00A647F1" w:rsidRDefault="00A647F1" w:rsidP="008E657F">
      <w:pPr>
        <w:jc w:val="both"/>
        <w:rPr>
          <w:rFonts w:ascii="Times New Roman" w:hAnsi="Times New Roman" w:cs="Times New Roman"/>
          <w:b/>
          <w:bCs/>
          <w:sz w:val="24"/>
          <w:szCs w:val="24"/>
        </w:rPr>
      </w:pPr>
    </w:p>
    <w:p w:rsidR="00502F7E" w:rsidRPr="003122A3" w:rsidRDefault="00502F7E" w:rsidP="008E657F">
      <w:pPr>
        <w:jc w:val="both"/>
        <w:rPr>
          <w:rFonts w:ascii="Times New Roman" w:hAnsi="Times New Roman" w:cs="Times New Roman"/>
          <w:b/>
          <w:bCs/>
          <w:sz w:val="24"/>
          <w:szCs w:val="24"/>
          <w:rtl/>
        </w:rPr>
      </w:pPr>
    </w:p>
    <w:p w:rsidR="00D363A8" w:rsidRPr="003122A3" w:rsidRDefault="00D363A8" w:rsidP="007B7C71">
      <w:pPr>
        <w:pStyle w:val="Caption"/>
        <w:bidi w:val="0"/>
        <w:rPr>
          <w:sz w:val="22"/>
          <w:szCs w:val="22"/>
        </w:rPr>
      </w:pPr>
      <w:bookmarkStart w:id="76" w:name="_Toc420268241"/>
      <w:r w:rsidRPr="003122A3">
        <w:rPr>
          <w:sz w:val="22"/>
          <w:szCs w:val="22"/>
        </w:rPr>
        <w:t>Figure</w:t>
      </w:r>
      <w:r w:rsidR="00B85436"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27</w:t>
      </w:r>
      <w:r w:rsidR="008F57C8" w:rsidRPr="003122A3">
        <w:rPr>
          <w:sz w:val="22"/>
          <w:szCs w:val="22"/>
          <w:rtl/>
        </w:rPr>
        <w:fldChar w:fldCharType="end"/>
      </w:r>
      <w:r w:rsidRPr="003122A3">
        <w:rPr>
          <w:sz w:val="22"/>
          <w:szCs w:val="22"/>
        </w:rPr>
        <w:t>: Percentage of Working Children 10-17 Years who were not</w:t>
      </w:r>
      <w:r w:rsidR="007B7C71">
        <w:rPr>
          <w:sz w:val="22"/>
          <w:szCs w:val="22"/>
        </w:rPr>
        <w:t xml:space="preserve"> currently</w:t>
      </w:r>
      <w:r w:rsidRPr="003122A3">
        <w:rPr>
          <w:sz w:val="22"/>
          <w:szCs w:val="22"/>
        </w:rPr>
        <w:t xml:space="preserve"> Attend in Education by Region 2009-201</w:t>
      </w:r>
      <w:bookmarkEnd w:id="76"/>
      <w:r w:rsidR="001626A8" w:rsidRPr="003122A3">
        <w:rPr>
          <w:sz w:val="22"/>
          <w:szCs w:val="22"/>
        </w:rPr>
        <w:t>4</w:t>
      </w:r>
    </w:p>
    <w:p w:rsidR="00666116" w:rsidRPr="003122A3" w:rsidRDefault="00666116" w:rsidP="00B85436">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756965" cy="2258170"/>
            <wp:effectExtent l="57150" t="0" r="72335" b="104030"/>
            <wp:docPr id="16"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666116" w:rsidRPr="003122A3" w:rsidRDefault="00666116" w:rsidP="008E657F">
      <w:pPr>
        <w:jc w:val="both"/>
        <w:rPr>
          <w:rFonts w:ascii="Times New Roman" w:hAnsi="Times New Roman" w:cs="Times New Roman"/>
          <w:sz w:val="18"/>
          <w:szCs w:val="18"/>
          <w:rtl/>
        </w:rPr>
      </w:pPr>
      <w:r w:rsidRPr="003122A3">
        <w:rPr>
          <w:rFonts w:ascii="Times New Roman" w:hAnsi="Times New Roman" w:cs="Times New Roman"/>
          <w:sz w:val="18"/>
          <w:szCs w:val="18"/>
          <w:rtl/>
        </w:rPr>
        <w:t xml:space="preserve">      </w:t>
      </w:r>
      <w:r w:rsidR="00833BD7">
        <w:rPr>
          <w:rFonts w:ascii="Times New Roman" w:hAnsi="Times New Roman" w:cs="Times New Roman"/>
          <w:sz w:val="18"/>
          <w:szCs w:val="18"/>
        </w:rPr>
        <w:t xml:space="preserve">  </w:t>
      </w:r>
      <w:r w:rsidR="004A28C6" w:rsidRPr="003122A3">
        <w:rPr>
          <w:rFonts w:ascii="Times New Roman" w:hAnsi="Times New Roman" w:cs="Times New Roman"/>
          <w:sz w:val="18"/>
          <w:szCs w:val="18"/>
        </w:rPr>
        <w:t xml:space="preserve">Source: Palestinian Central Bureau of Statistics. Labor force survey data for 2009 and </w:t>
      </w:r>
      <w:r w:rsidR="004A28C6" w:rsidRPr="003122A3">
        <w:rPr>
          <w:rFonts w:ascii="Times New Roman" w:hAnsi="Times New Roman" w:cs="Times New Roman"/>
          <w:sz w:val="18"/>
          <w:szCs w:val="18"/>
          <w:rtl/>
        </w:rPr>
        <w:t>2014</w:t>
      </w:r>
      <w:r w:rsidRPr="003122A3">
        <w:rPr>
          <w:rFonts w:ascii="Times New Roman" w:hAnsi="Times New Roman" w:cs="Times New Roman"/>
          <w:sz w:val="18"/>
          <w:szCs w:val="18"/>
          <w:rtl/>
        </w:rPr>
        <w:t xml:space="preserve"> </w:t>
      </w:r>
    </w:p>
    <w:p w:rsidR="00A42CF9" w:rsidRPr="003122A3" w:rsidRDefault="00A42CF9" w:rsidP="00A42CF9">
      <w:pPr>
        <w:pStyle w:val="Heading2"/>
        <w:ind w:firstLineChars="0" w:firstLine="0"/>
        <w:jc w:val="left"/>
        <w:rPr>
          <w:rFonts w:ascii="Times New Roman" w:hAnsi="Times New Roman" w:cs="Times New Roman"/>
        </w:rPr>
      </w:pPr>
    </w:p>
    <w:p w:rsidR="00666116" w:rsidRPr="003122A3" w:rsidRDefault="004A28C6" w:rsidP="00A42CF9">
      <w:pPr>
        <w:pStyle w:val="Heading2"/>
        <w:ind w:firstLineChars="0" w:firstLine="0"/>
        <w:jc w:val="left"/>
        <w:rPr>
          <w:rFonts w:ascii="Times New Roman" w:hAnsi="Times New Roman" w:cs="Times New Roman"/>
          <w:sz w:val="24"/>
          <w:szCs w:val="24"/>
        </w:rPr>
      </w:pPr>
      <w:bookmarkStart w:id="77" w:name="_Toc420245001"/>
      <w:r w:rsidRPr="003122A3">
        <w:rPr>
          <w:rFonts w:ascii="Times New Roman" w:hAnsi="Times New Roman" w:cs="Times New Roman"/>
          <w:sz w:val="24"/>
          <w:szCs w:val="24"/>
        </w:rPr>
        <w:t>6.2 Unemployment</w:t>
      </w:r>
      <w:bookmarkEnd w:id="77"/>
    </w:p>
    <w:p w:rsidR="00881ABF" w:rsidRPr="00930C62" w:rsidRDefault="00881ABF" w:rsidP="00930C62">
      <w:pPr>
        <w:spacing w:after="0"/>
        <w:jc w:val="both"/>
        <w:rPr>
          <w:rFonts w:ascii="Times New Roman" w:hAnsi="Times New Roman" w:cs="Times New Roman"/>
          <w:sz w:val="24"/>
          <w:szCs w:val="24"/>
        </w:rPr>
      </w:pPr>
    </w:p>
    <w:p w:rsidR="004E3853" w:rsidRDefault="004E3853"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unemployment rate in Palestine rose from 23.4% in 2013 to 26.9% in 2014. There is still a significant gap in unemployment rates for men and women, with 38.4% of women and 23.9% of men unemployed in 2014. Unemployment rate for women who head households was 16.1% in 2014 compared to 15.5% for men heads of households. A high unemployment rate is apparent in women with increased number of years of study, unlike among men. Data show that the participation of women in the labor force increased with increased years of schooling</w:t>
      </w:r>
      <w:proofErr w:type="spellStart"/>
      <w:r w:rsidRPr="003122A3">
        <w:rPr>
          <w:rFonts w:ascii="Times New Roman" w:hAnsi="Times New Roman" w:cs="Times New Roman"/>
          <w:sz w:val="24"/>
          <w:szCs w:val="24"/>
          <w:rtl/>
        </w:rPr>
        <w:t>.</w:t>
      </w:r>
      <w:proofErr w:type="spellEnd"/>
      <w:r w:rsidRPr="003122A3">
        <w:rPr>
          <w:rStyle w:val="FootnoteReference"/>
          <w:rFonts w:ascii="Times New Roman" w:hAnsi="Times New Roman" w:cs="Times New Roman"/>
          <w:sz w:val="24"/>
          <w:szCs w:val="24"/>
          <w:rtl/>
        </w:rPr>
        <w:footnoteReference w:id="44"/>
      </w:r>
    </w:p>
    <w:p w:rsidR="00930C62" w:rsidRPr="003122A3" w:rsidRDefault="00930C62" w:rsidP="00930C62">
      <w:pPr>
        <w:spacing w:after="0" w:line="240" w:lineRule="auto"/>
        <w:jc w:val="both"/>
        <w:rPr>
          <w:rFonts w:ascii="Times New Roman" w:hAnsi="Times New Roman" w:cs="Times New Roman"/>
          <w:sz w:val="24"/>
          <w:szCs w:val="24"/>
          <w:rtl/>
        </w:rPr>
      </w:pPr>
    </w:p>
    <w:p w:rsidR="00666116" w:rsidRPr="003122A3" w:rsidRDefault="00DE7B74" w:rsidP="001626A8">
      <w:pPr>
        <w:pStyle w:val="Caption"/>
        <w:bidi w:val="0"/>
        <w:rPr>
          <w:b w:val="0"/>
          <w:bCs w:val="0"/>
          <w:sz w:val="22"/>
          <w:szCs w:val="22"/>
          <w:rtl/>
        </w:rPr>
      </w:pPr>
      <w:bookmarkStart w:id="78" w:name="_Toc420268242"/>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28</w:t>
      </w:r>
      <w:r w:rsidR="008F57C8" w:rsidRPr="003122A3">
        <w:rPr>
          <w:sz w:val="22"/>
          <w:szCs w:val="24"/>
        </w:rPr>
        <w:fldChar w:fldCharType="end"/>
      </w:r>
      <w:r w:rsidRPr="003122A3">
        <w:rPr>
          <w:sz w:val="22"/>
          <w:szCs w:val="24"/>
        </w:rPr>
        <w:t>: Unemployment Rate Among Persons Who Headed Househols by Sex 2009-2014</w:t>
      </w:r>
      <w:bookmarkEnd w:id="78"/>
    </w:p>
    <w:p w:rsidR="00666116" w:rsidRPr="003122A3" w:rsidRDefault="00666116" w:rsidP="00B85436">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756575" cy="2406770"/>
            <wp:effectExtent l="19050" t="0" r="15575" b="0"/>
            <wp:docPr id="22"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6003FC" w:rsidRPr="003122A3" w:rsidRDefault="00666116" w:rsidP="00833BD7">
      <w:pPr>
        <w:jc w:val="both"/>
        <w:rPr>
          <w:rFonts w:ascii="Times New Roman" w:hAnsi="Times New Roman" w:cs="Times New Roman"/>
          <w:sz w:val="18"/>
          <w:szCs w:val="18"/>
          <w:rtl/>
        </w:rPr>
      </w:pPr>
      <w:r w:rsidRPr="003122A3">
        <w:rPr>
          <w:rFonts w:ascii="Times New Roman" w:eastAsia="Calibri" w:hAnsi="Times New Roman" w:cs="Times New Roman"/>
          <w:b/>
          <w:bCs/>
          <w:sz w:val="20"/>
          <w:szCs w:val="20"/>
          <w:rtl/>
        </w:rPr>
        <w:t xml:space="preserve">  </w:t>
      </w:r>
      <w:r w:rsidR="00B14F3E" w:rsidRPr="003122A3">
        <w:rPr>
          <w:rFonts w:ascii="Times New Roman" w:hAnsi="Times New Roman" w:cs="Times New Roman"/>
          <w:sz w:val="18"/>
          <w:szCs w:val="18"/>
          <w:rtl/>
        </w:rPr>
        <w:t xml:space="preserve">          </w:t>
      </w:r>
      <w:r w:rsidR="004E3853" w:rsidRPr="003122A3">
        <w:rPr>
          <w:rFonts w:ascii="Times New Roman" w:hAnsi="Times New Roman" w:cs="Times New Roman"/>
          <w:sz w:val="18"/>
          <w:szCs w:val="18"/>
        </w:rPr>
        <w:t>Source: Palestinian Central Bureau of Statistics. Labor force survey data for 2009 and 2014</w:t>
      </w:r>
    </w:p>
    <w:p w:rsidR="00137701" w:rsidRPr="003122A3" w:rsidRDefault="00137701" w:rsidP="008E657F">
      <w:pPr>
        <w:jc w:val="both"/>
        <w:rPr>
          <w:rFonts w:ascii="Times New Roman" w:hAnsi="Times New Roman" w:cs="Times New Roman"/>
          <w:sz w:val="18"/>
          <w:szCs w:val="18"/>
          <w:rtl/>
        </w:rPr>
      </w:pPr>
    </w:p>
    <w:p w:rsidR="003C3AF4" w:rsidRPr="003122A3" w:rsidRDefault="00552A36" w:rsidP="00A42CF9">
      <w:pPr>
        <w:pStyle w:val="Heading2"/>
        <w:ind w:firstLineChars="0" w:firstLine="0"/>
        <w:jc w:val="left"/>
        <w:rPr>
          <w:rFonts w:ascii="Times New Roman" w:hAnsi="Times New Roman" w:cs="Times New Roman"/>
          <w:sz w:val="24"/>
          <w:szCs w:val="24"/>
        </w:rPr>
      </w:pPr>
      <w:bookmarkStart w:id="79" w:name="_Toc420245002"/>
      <w:r w:rsidRPr="003122A3">
        <w:rPr>
          <w:rFonts w:ascii="Times New Roman" w:hAnsi="Times New Roman" w:cs="Times New Roman"/>
          <w:sz w:val="24"/>
          <w:szCs w:val="24"/>
        </w:rPr>
        <w:t>6.3 Poverty</w:t>
      </w:r>
      <w:bookmarkEnd w:id="79"/>
    </w:p>
    <w:p w:rsidR="00881ABF" w:rsidRPr="00930C62" w:rsidRDefault="00881ABF" w:rsidP="00930C62">
      <w:pPr>
        <w:spacing w:after="0"/>
        <w:jc w:val="both"/>
        <w:rPr>
          <w:rFonts w:ascii="Times New Roman" w:hAnsi="Times New Roman" w:cs="Times New Roman"/>
          <w:sz w:val="24"/>
          <w:szCs w:val="24"/>
        </w:rPr>
      </w:pPr>
    </w:p>
    <w:p w:rsidR="00552A36" w:rsidRDefault="001626A8"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Poverty</w:t>
      </w:r>
      <w:r w:rsidR="00552A36" w:rsidRPr="003122A3">
        <w:rPr>
          <w:rFonts w:ascii="Times New Roman" w:hAnsi="Times New Roman" w:cs="Times New Roman"/>
          <w:sz w:val="24"/>
          <w:szCs w:val="24"/>
        </w:rPr>
        <w:t xml:space="preserve"> and d</w:t>
      </w:r>
      <w:r w:rsidRPr="003122A3">
        <w:rPr>
          <w:rFonts w:ascii="Times New Roman" w:hAnsi="Times New Roman" w:cs="Times New Roman"/>
          <w:sz w:val="24"/>
          <w:szCs w:val="24"/>
        </w:rPr>
        <w:t>e</w:t>
      </w:r>
      <w:r w:rsidR="00552A36" w:rsidRPr="003122A3">
        <w:rPr>
          <w:rFonts w:ascii="Times New Roman" w:hAnsi="Times New Roman" w:cs="Times New Roman"/>
          <w:sz w:val="24"/>
          <w:szCs w:val="24"/>
        </w:rPr>
        <w:t>e</w:t>
      </w:r>
      <w:r w:rsidRPr="003122A3">
        <w:rPr>
          <w:rFonts w:ascii="Times New Roman" w:hAnsi="Times New Roman" w:cs="Times New Roman"/>
          <w:sz w:val="24"/>
          <w:szCs w:val="24"/>
        </w:rPr>
        <w:t>p</w:t>
      </w:r>
      <w:r w:rsidR="00552A36" w:rsidRPr="003122A3">
        <w:rPr>
          <w:rFonts w:ascii="Times New Roman" w:hAnsi="Times New Roman" w:cs="Times New Roman"/>
          <w:sz w:val="24"/>
          <w:szCs w:val="24"/>
        </w:rPr>
        <w:t xml:space="preserve"> poverty thresholds are determined based on the consumption patterns of households. An assessment of basic poverty looks at basic needs (food, clothing and housing) as well as health care, education, transportation and communication, personal care, furniture and other home accessories. </w:t>
      </w:r>
      <w:r w:rsidRPr="003122A3">
        <w:rPr>
          <w:rFonts w:ascii="Times New Roman" w:hAnsi="Times New Roman" w:cs="Times New Roman"/>
          <w:sz w:val="24"/>
          <w:szCs w:val="24"/>
        </w:rPr>
        <w:t>de</w:t>
      </w:r>
      <w:r w:rsidR="00552A36" w:rsidRPr="003122A3">
        <w:rPr>
          <w:rFonts w:ascii="Times New Roman" w:hAnsi="Times New Roman" w:cs="Times New Roman"/>
          <w:sz w:val="24"/>
          <w:szCs w:val="24"/>
        </w:rPr>
        <w:t>e</w:t>
      </w:r>
      <w:r w:rsidRPr="003122A3">
        <w:rPr>
          <w:rFonts w:ascii="Times New Roman" w:hAnsi="Times New Roman" w:cs="Times New Roman"/>
          <w:sz w:val="24"/>
          <w:szCs w:val="24"/>
        </w:rPr>
        <w:t>p</w:t>
      </w:r>
      <w:r w:rsidR="00552A36" w:rsidRPr="003122A3">
        <w:rPr>
          <w:rFonts w:ascii="Times New Roman" w:hAnsi="Times New Roman" w:cs="Times New Roman"/>
          <w:sz w:val="24"/>
          <w:szCs w:val="24"/>
        </w:rPr>
        <w:t xml:space="preserve"> poverty looks at basic needs only (food, clothing and housing). Poverty thresholds are calculated on the basis of family composition, family size and number of children. The reference household is one of five members (two adults and three children). </w:t>
      </w:r>
      <w:r w:rsidR="00552A36" w:rsidRPr="003122A3">
        <w:rPr>
          <w:rStyle w:val="FootnoteReference"/>
          <w:rFonts w:ascii="Times New Roman" w:hAnsi="Times New Roman" w:cs="Times New Roman"/>
          <w:sz w:val="24"/>
          <w:szCs w:val="24"/>
        </w:rPr>
        <w:footnoteReference w:id="45"/>
      </w:r>
    </w:p>
    <w:p w:rsidR="00930C62" w:rsidRPr="003122A3" w:rsidRDefault="00930C62" w:rsidP="00930C62">
      <w:pPr>
        <w:spacing w:after="0" w:line="240" w:lineRule="auto"/>
        <w:jc w:val="both"/>
        <w:rPr>
          <w:rFonts w:ascii="Times New Roman" w:hAnsi="Times New Roman" w:cs="Times New Roman"/>
          <w:sz w:val="24"/>
          <w:szCs w:val="24"/>
          <w:rtl/>
        </w:rPr>
      </w:pPr>
    </w:p>
    <w:tbl>
      <w:tblPr>
        <w:tblStyle w:val="TableGrid"/>
        <w:bidiVisual/>
        <w:tblW w:w="0" w:type="auto"/>
        <w:jc w:val="center"/>
        <w:tblLook w:val="04A0"/>
      </w:tblPr>
      <w:tblGrid>
        <w:gridCol w:w="9574"/>
      </w:tblGrid>
      <w:tr w:rsidR="001F032E" w:rsidRPr="003122A3" w:rsidTr="00151568">
        <w:trPr>
          <w:jc w:val="center"/>
        </w:trPr>
        <w:tc>
          <w:tcPr>
            <w:tcW w:w="9574" w:type="dxa"/>
            <w:tcBorders>
              <w:top w:val="outset" w:sz="6" w:space="0" w:color="auto"/>
              <w:left w:val="outset" w:sz="6" w:space="0" w:color="auto"/>
              <w:bottom w:val="outset" w:sz="6" w:space="0" w:color="auto"/>
              <w:right w:val="outset" w:sz="6" w:space="0" w:color="auto"/>
            </w:tcBorders>
          </w:tcPr>
          <w:p w:rsidR="00552A36" w:rsidRPr="003122A3" w:rsidRDefault="00552A36" w:rsidP="00930C62">
            <w:pPr>
              <w:jc w:val="both"/>
              <w:rPr>
                <w:rFonts w:ascii="Times New Roman" w:hAnsi="Times New Roman" w:cs="Times New Roman"/>
                <w:sz w:val="24"/>
                <w:szCs w:val="24"/>
              </w:rPr>
            </w:pPr>
            <w:r w:rsidRPr="003122A3">
              <w:rPr>
                <w:rFonts w:ascii="Times New Roman" w:hAnsi="Times New Roman" w:cs="Times New Roman"/>
                <w:sz w:val="24"/>
                <w:szCs w:val="24"/>
              </w:rPr>
              <w:t>To define best indicators to measure poverty, PCBS reviewed the poverty methodology devised in 1997 and amended it as follows:</w:t>
            </w:r>
          </w:p>
          <w:p w:rsidR="00552A36" w:rsidRPr="003122A3" w:rsidRDefault="00552A36" w:rsidP="00930C62">
            <w:pPr>
              <w:jc w:val="both"/>
              <w:rPr>
                <w:rFonts w:ascii="Times New Roman" w:hAnsi="Times New Roman" w:cs="Times New Roman"/>
                <w:sz w:val="24"/>
                <w:szCs w:val="24"/>
              </w:rPr>
            </w:pPr>
            <w:r w:rsidRPr="003122A3">
              <w:rPr>
                <w:rFonts w:ascii="Times New Roman" w:hAnsi="Times New Roman" w:cs="Times New Roman"/>
                <w:sz w:val="24"/>
                <w:szCs w:val="24"/>
              </w:rPr>
              <w:t>Analysis of household consumption based on price variances across regions (purchase power)</w:t>
            </w:r>
          </w:p>
          <w:p w:rsidR="00552A36" w:rsidRPr="003122A3" w:rsidRDefault="00552A36" w:rsidP="00930C62">
            <w:pPr>
              <w:jc w:val="both"/>
              <w:rPr>
                <w:rFonts w:ascii="Times New Roman" w:hAnsi="Times New Roman" w:cs="Times New Roman"/>
                <w:sz w:val="24"/>
                <w:szCs w:val="24"/>
              </w:rPr>
            </w:pPr>
            <w:r w:rsidRPr="003122A3">
              <w:rPr>
                <w:rFonts w:ascii="Times New Roman" w:hAnsi="Times New Roman" w:cs="Times New Roman"/>
                <w:sz w:val="24"/>
                <w:szCs w:val="24"/>
              </w:rPr>
              <w:t>Calculation of poverty rates at individual and not only household levels in order to calculate the number of poor people</w:t>
            </w:r>
          </w:p>
          <w:p w:rsidR="00552A36" w:rsidRPr="003122A3" w:rsidRDefault="00552A36" w:rsidP="00930C62">
            <w:pPr>
              <w:jc w:val="both"/>
              <w:rPr>
                <w:rFonts w:ascii="Times New Roman" w:hAnsi="Times New Roman" w:cs="Times New Roman"/>
                <w:sz w:val="24"/>
                <w:szCs w:val="24"/>
              </w:rPr>
            </w:pPr>
            <w:r w:rsidRPr="003122A3">
              <w:rPr>
                <w:rFonts w:ascii="Times New Roman" w:hAnsi="Times New Roman" w:cs="Times New Roman"/>
                <w:sz w:val="24"/>
                <w:szCs w:val="24"/>
              </w:rPr>
              <w:t>Use purchase power indicator to calculate poverty rates</w:t>
            </w:r>
          </w:p>
          <w:p w:rsidR="00552A36" w:rsidRPr="003122A3" w:rsidRDefault="00552A36" w:rsidP="00930C62">
            <w:pPr>
              <w:jc w:val="both"/>
              <w:rPr>
                <w:rFonts w:ascii="Times New Roman" w:hAnsi="Times New Roman" w:cs="Times New Roman"/>
                <w:sz w:val="24"/>
                <w:szCs w:val="24"/>
              </w:rPr>
            </w:pPr>
            <w:r w:rsidRPr="003122A3">
              <w:rPr>
                <w:rFonts w:ascii="Times New Roman" w:hAnsi="Times New Roman" w:cs="Times New Roman"/>
                <w:sz w:val="24"/>
                <w:szCs w:val="24"/>
              </w:rPr>
              <w:t xml:space="preserve">In 2009 and 2010, there was a change in the composition of households in the Palestinian society. To reflect this change, instead of a </w:t>
            </w:r>
            <w:proofErr w:type="spellStart"/>
            <w:r w:rsidRPr="003122A3">
              <w:rPr>
                <w:rFonts w:ascii="Times New Roman" w:hAnsi="Times New Roman" w:cs="Times New Roman"/>
                <w:sz w:val="24"/>
                <w:szCs w:val="24"/>
              </w:rPr>
              <w:t>referenc</w:t>
            </w:r>
            <w:proofErr w:type="spellEnd"/>
            <w:r w:rsidRPr="003122A3">
              <w:rPr>
                <w:rFonts w:ascii="Times New Roman" w:hAnsi="Times New Roman" w:cs="Times New Roman"/>
                <w:sz w:val="24"/>
                <w:szCs w:val="24"/>
              </w:rPr>
              <w:t xml:space="preserve"> household of two adults and four children, the reference household became one with two adults and three children (the most common household composition). Accordingly, 2010 was considered as a new base year for estimating poverty rates.</w:t>
            </w:r>
          </w:p>
          <w:p w:rsidR="00552A36" w:rsidRPr="003122A3" w:rsidRDefault="00552A36" w:rsidP="00930C62">
            <w:pPr>
              <w:jc w:val="both"/>
              <w:rPr>
                <w:rFonts w:ascii="Times New Roman" w:hAnsi="Times New Roman" w:cs="Times New Roman"/>
                <w:sz w:val="24"/>
                <w:szCs w:val="24"/>
                <w:rtl/>
              </w:rPr>
            </w:pPr>
            <w:r w:rsidRPr="003122A3">
              <w:rPr>
                <w:rFonts w:ascii="Times New Roman" w:hAnsi="Times New Roman" w:cs="Times New Roman"/>
                <w:sz w:val="24"/>
                <w:szCs w:val="24"/>
              </w:rPr>
              <w:t xml:space="preserve">Methodological adjustments were applied to the time cycle 2004-2009 to enable comparisons and monitor change in poverty trends across time. It should be noted that the </w:t>
            </w:r>
            <w:proofErr w:type="spellStart"/>
            <w:r w:rsidRPr="003122A3">
              <w:rPr>
                <w:rFonts w:ascii="Times New Roman" w:hAnsi="Times New Roman" w:cs="Times New Roman"/>
                <w:sz w:val="24"/>
                <w:szCs w:val="24"/>
              </w:rPr>
              <w:t>refrence</w:t>
            </w:r>
            <w:proofErr w:type="spellEnd"/>
            <w:r w:rsidRPr="003122A3">
              <w:rPr>
                <w:rFonts w:ascii="Times New Roman" w:hAnsi="Times New Roman" w:cs="Times New Roman"/>
                <w:sz w:val="24"/>
                <w:szCs w:val="24"/>
              </w:rPr>
              <w:t xml:space="preserve"> household for this period comprised 6 members (2 adults and 4 children).</w:t>
            </w:r>
            <w:r w:rsidRPr="003122A3">
              <w:rPr>
                <w:rStyle w:val="FootnoteReference"/>
                <w:rFonts w:ascii="Times New Roman" w:hAnsi="Times New Roman" w:cs="Times New Roman"/>
                <w:sz w:val="24"/>
                <w:szCs w:val="24"/>
                <w:rtl/>
              </w:rPr>
              <w:t xml:space="preserve"> </w:t>
            </w:r>
            <w:r w:rsidRPr="003122A3">
              <w:rPr>
                <w:rStyle w:val="FootnoteReference"/>
                <w:rFonts w:ascii="Times New Roman" w:hAnsi="Times New Roman" w:cs="Times New Roman"/>
                <w:sz w:val="24"/>
                <w:szCs w:val="24"/>
                <w:rtl/>
              </w:rPr>
              <w:footnoteReference w:id="46"/>
            </w:r>
          </w:p>
        </w:tc>
      </w:tr>
    </w:tbl>
    <w:p w:rsidR="001F032E" w:rsidRPr="003122A3" w:rsidRDefault="001F032E" w:rsidP="008E657F">
      <w:pPr>
        <w:jc w:val="both"/>
        <w:rPr>
          <w:rFonts w:ascii="Times New Roman" w:hAnsi="Times New Roman" w:cs="Times New Roman"/>
          <w:sz w:val="10"/>
          <w:szCs w:val="10"/>
          <w:rtl/>
        </w:rPr>
      </w:pPr>
    </w:p>
    <w:p w:rsidR="003E4C88" w:rsidRPr="003122A3" w:rsidRDefault="00552A36"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Prevalence of poverty:</w:t>
      </w:r>
      <w:r w:rsidR="003E4C88" w:rsidRPr="003122A3">
        <w:rPr>
          <w:rFonts w:ascii="Times New Roman" w:hAnsi="Times New Roman" w:cs="Times New Roman"/>
          <w:b/>
          <w:bCs/>
          <w:sz w:val="24"/>
          <w:szCs w:val="24"/>
          <w:rtl/>
        </w:rPr>
        <w:t xml:space="preserve"> </w:t>
      </w:r>
    </w:p>
    <w:p w:rsidR="005550F8" w:rsidRPr="003122A3" w:rsidRDefault="0037531D"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percentage of poverty among individuals during 2011 based on consumption patterns was 25.8% (17.8% in the West Bank and 38.8%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compared to 25.7% in 2010 (18.3% in the West Bank and 38% </w:t>
      </w:r>
      <w:r w:rsidR="00A91E3A">
        <w:rPr>
          <w:rFonts w:ascii="Times New Roman" w:hAnsi="Times New Roman" w:cs="Times New Roman"/>
          <w:sz w:val="24"/>
          <w:szCs w:val="24"/>
        </w:rPr>
        <w:t>in Gaza Strip</w:t>
      </w:r>
      <w:r w:rsidRPr="003122A3">
        <w:rPr>
          <w:rFonts w:ascii="Times New Roman" w:hAnsi="Times New Roman" w:cs="Times New Roman"/>
          <w:sz w:val="24"/>
          <w:szCs w:val="24"/>
        </w:rPr>
        <w:t>). This means that the poverty rate in Gaza is twice that of the West Bank, but has not changed significantly compared to 2009 and 2010. When making comparisons, one should take into account errors in marginal statistical surveys and studies. The decline or rise in the percentage was very minimal and was not considered a significant change.</w:t>
      </w:r>
    </w:p>
    <w:p w:rsidR="00B85436" w:rsidRPr="003122A3" w:rsidRDefault="00B85436" w:rsidP="00B85436">
      <w:pPr>
        <w:pStyle w:val="Caption"/>
        <w:bidi w:val="0"/>
        <w:jc w:val="both"/>
      </w:pPr>
      <w:bookmarkStart w:id="80" w:name="_Toc420268243"/>
    </w:p>
    <w:p w:rsidR="0037531D" w:rsidRPr="003122A3" w:rsidRDefault="00DE7B74" w:rsidP="00B85436">
      <w:pPr>
        <w:pStyle w:val="Caption"/>
        <w:bidi w:val="0"/>
        <w:rPr>
          <w:b w:val="0"/>
          <w:bCs w:val="0"/>
          <w:sz w:val="22"/>
          <w:szCs w:val="22"/>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29</w:t>
      </w:r>
      <w:r w:rsidR="008F57C8" w:rsidRPr="003122A3">
        <w:rPr>
          <w:sz w:val="22"/>
          <w:szCs w:val="24"/>
        </w:rPr>
        <w:fldChar w:fldCharType="end"/>
      </w:r>
      <w:r w:rsidRPr="003122A3">
        <w:rPr>
          <w:sz w:val="22"/>
          <w:szCs w:val="24"/>
        </w:rPr>
        <w:t>: Poverty Rate Among Individuals 2009-2011</w:t>
      </w:r>
      <w:bookmarkEnd w:id="80"/>
    </w:p>
    <w:p w:rsidR="0037531D" w:rsidRPr="003122A3" w:rsidRDefault="0037531D" w:rsidP="00B85436">
      <w:pPr>
        <w:jc w:val="center"/>
        <w:rPr>
          <w:rFonts w:ascii="Times New Roman" w:hAnsi="Times New Roman" w:cs="Times New Roman"/>
          <w:sz w:val="24"/>
          <w:szCs w:val="24"/>
        </w:rPr>
      </w:pPr>
      <w:r w:rsidRPr="003122A3">
        <w:rPr>
          <w:rFonts w:ascii="Times New Roman" w:hAnsi="Times New Roman" w:cs="Times New Roman"/>
          <w:b/>
          <w:bCs/>
          <w:noProof/>
          <w:sz w:val="24"/>
          <w:szCs w:val="24"/>
        </w:rPr>
        <w:drawing>
          <wp:inline distT="0" distB="0" distL="0" distR="0">
            <wp:extent cx="5754670" cy="1975449"/>
            <wp:effectExtent l="19050" t="0" r="17480" b="5751"/>
            <wp:docPr id="123"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37531D" w:rsidRPr="003122A3" w:rsidRDefault="00B85436" w:rsidP="008E657F">
      <w:pPr>
        <w:jc w:val="both"/>
        <w:rPr>
          <w:rFonts w:ascii="Times New Roman" w:hAnsi="Times New Roman" w:cs="Times New Roman"/>
          <w:sz w:val="18"/>
          <w:szCs w:val="18"/>
        </w:rPr>
      </w:pPr>
      <w:r w:rsidRPr="003122A3">
        <w:rPr>
          <w:rFonts w:ascii="Times New Roman" w:hAnsi="Times New Roman" w:cs="Times New Roman"/>
          <w:sz w:val="18"/>
          <w:szCs w:val="18"/>
        </w:rPr>
        <w:t xml:space="preserve">      </w:t>
      </w:r>
      <w:r w:rsidR="0037531D" w:rsidRPr="003122A3">
        <w:rPr>
          <w:rFonts w:ascii="Times New Roman" w:hAnsi="Times New Roman" w:cs="Times New Roman"/>
          <w:sz w:val="18"/>
          <w:szCs w:val="18"/>
        </w:rPr>
        <w:t> Source: Palestinian Central Bureau of Statistics, 2013. Expenditure and Consumption Survey 2009-2011.</w:t>
      </w:r>
    </w:p>
    <w:p w:rsidR="0037531D" w:rsidRDefault="0037531D"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Poverty rates increase with increased size of households and number of children. Poverty rates of households with children reached 22.7% in 2011, compared to 13.2% for households without children. Accordingly, one of every five households with children lives in poverty. Poor households with children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are double those in the West Bank. Poverty rates are also influenced by the main source of outcome. Individuals whose heads of households rely on agriculture as source of income represented the highest poverty rate (34.1%), followed by private sector workers (30.7%). </w:t>
      </w:r>
      <w:r w:rsidR="00EE39D7">
        <w:rPr>
          <w:rFonts w:ascii="Times New Roman" w:hAnsi="Times New Roman" w:cs="Times New Roman"/>
          <w:sz w:val="24"/>
          <w:szCs w:val="24"/>
        </w:rPr>
        <w:t xml:space="preserve"> </w:t>
      </w:r>
      <w:r w:rsidRPr="003122A3">
        <w:rPr>
          <w:rFonts w:ascii="Times New Roman" w:hAnsi="Times New Roman" w:cs="Times New Roman"/>
          <w:sz w:val="24"/>
          <w:szCs w:val="24"/>
        </w:rPr>
        <w:t>The third highest rates was among households depending on money transfers (30.0%) whereas 20.4% of households depending on the public sector as source of income lived in poverty.</w:t>
      </w:r>
    </w:p>
    <w:p w:rsidR="00930C62" w:rsidRPr="003122A3" w:rsidRDefault="00930C62" w:rsidP="00930C62">
      <w:pPr>
        <w:spacing w:after="0" w:line="240" w:lineRule="auto"/>
        <w:jc w:val="both"/>
        <w:rPr>
          <w:rFonts w:ascii="Times New Roman" w:hAnsi="Times New Roman" w:cs="Times New Roman"/>
          <w:sz w:val="24"/>
          <w:szCs w:val="24"/>
          <w:rtl/>
        </w:rPr>
      </w:pPr>
    </w:p>
    <w:p w:rsidR="00D92CA9" w:rsidRPr="003122A3" w:rsidRDefault="008F57C8" w:rsidP="008E657F">
      <w:pPr>
        <w:jc w:val="both"/>
        <w:rPr>
          <w:rFonts w:ascii="Times New Roman" w:hAnsi="Times New Roman" w:cs="Times New Roman"/>
          <w:sz w:val="24"/>
          <w:szCs w:val="24"/>
          <w:rtl/>
        </w:rPr>
      </w:pPr>
      <w:r>
        <w:rPr>
          <w:rFonts w:ascii="Times New Roman" w:hAnsi="Times New Roman" w:cs="Times New Roman"/>
          <w:noProof/>
          <w:sz w:val="24"/>
          <w:szCs w:val="24"/>
          <w:rtl/>
        </w:rPr>
        <w:pict>
          <v:roundrect id="AutoShape 8" o:spid="_x0000_s1027" style="position:absolute;left:0;text-align:left;margin-left:11.75pt;margin-top:7.45pt;width:442pt;height:27.55pt;z-index:251676672;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">
            <v:textbox>
              <w:txbxContent>
                <w:p w:rsidR="00087F5C" w:rsidRPr="007277B1" w:rsidRDefault="00087F5C" w:rsidP="007F092E">
                  <w:pPr>
                    <w:bidi/>
                    <w:jc w:val="center"/>
                    <w:rPr>
                      <w:rFonts w:asciiTheme="majorBidi" w:hAnsiTheme="majorBidi" w:cstheme="majorBidi"/>
                      <w:b/>
                      <w:bCs/>
                      <w:sz w:val="24"/>
                      <w:szCs w:val="24"/>
                    </w:rPr>
                  </w:pPr>
                  <w:r w:rsidRPr="007277B1">
                    <w:rPr>
                      <w:rFonts w:asciiTheme="majorBidi" w:hAnsiTheme="majorBidi" w:cstheme="majorBidi"/>
                      <w:b/>
                      <w:bCs/>
                      <w:sz w:val="24"/>
                      <w:szCs w:val="24"/>
                    </w:rPr>
                    <w:t>Poverty rates increase with increased number of children in households</w:t>
                  </w:r>
                </w:p>
              </w:txbxContent>
            </v:textbox>
          </v:roundrect>
        </w:pict>
      </w:r>
    </w:p>
    <w:p w:rsidR="00B85436" w:rsidRPr="003122A3" w:rsidRDefault="00B85436" w:rsidP="008E657F">
      <w:pPr>
        <w:jc w:val="both"/>
        <w:rPr>
          <w:rFonts w:ascii="Times New Roman" w:hAnsi="Times New Roman" w:cs="Times New Roman"/>
          <w:sz w:val="24"/>
          <w:szCs w:val="24"/>
        </w:rPr>
      </w:pPr>
    </w:p>
    <w:p w:rsidR="0037531D" w:rsidRDefault="0037531D"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A clear correlation is apparent between the number of children in households and poverty rates; households without children have poverty rates of 15.8% whereas this rate rises with the increase in the number of children.</w:t>
      </w:r>
    </w:p>
    <w:p w:rsidR="00930C62" w:rsidRPr="003122A3" w:rsidRDefault="00930C62" w:rsidP="00930C62">
      <w:pPr>
        <w:spacing w:after="0" w:line="240" w:lineRule="auto"/>
        <w:jc w:val="both"/>
        <w:rPr>
          <w:rFonts w:ascii="Times New Roman" w:hAnsi="Times New Roman" w:cs="Times New Roman"/>
          <w:sz w:val="24"/>
          <w:szCs w:val="24"/>
          <w:rtl/>
        </w:rPr>
      </w:pPr>
    </w:p>
    <w:p w:rsidR="00532729" w:rsidRPr="003122A3" w:rsidRDefault="00DE7B74" w:rsidP="00B85436">
      <w:pPr>
        <w:pStyle w:val="Caption"/>
        <w:bidi w:val="0"/>
        <w:rPr>
          <w:b w:val="0"/>
          <w:bCs w:val="0"/>
          <w:sz w:val="22"/>
          <w:szCs w:val="22"/>
          <w:rtl/>
        </w:rPr>
      </w:pPr>
      <w:bookmarkStart w:id="81" w:name="_Toc420268244"/>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30</w:t>
      </w:r>
      <w:r w:rsidR="008F57C8" w:rsidRPr="003122A3">
        <w:rPr>
          <w:sz w:val="22"/>
          <w:szCs w:val="24"/>
        </w:rPr>
        <w:fldChar w:fldCharType="end"/>
      </w:r>
      <w:r w:rsidRPr="003122A3">
        <w:rPr>
          <w:sz w:val="22"/>
          <w:szCs w:val="24"/>
        </w:rPr>
        <w:t>: Poverty Rates among Individuals according to Monthly Household Consumption Patters, 2011</w:t>
      </w:r>
      <w:bookmarkEnd w:id="81"/>
    </w:p>
    <w:p w:rsidR="001C039C" w:rsidRPr="003122A3" w:rsidRDefault="001C039C" w:rsidP="007277B1">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586730" cy="1971675"/>
            <wp:effectExtent l="19050" t="0" r="1397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37531D" w:rsidRPr="003122A3" w:rsidRDefault="007277B1" w:rsidP="008E657F">
      <w:pPr>
        <w:jc w:val="both"/>
        <w:rPr>
          <w:rFonts w:ascii="Times New Roman" w:hAnsi="Times New Roman" w:cs="Times New Roman"/>
          <w:sz w:val="18"/>
          <w:szCs w:val="18"/>
        </w:rPr>
      </w:pPr>
      <w:r w:rsidRPr="003122A3">
        <w:rPr>
          <w:rFonts w:ascii="Times New Roman" w:hAnsi="Times New Roman" w:cs="Times New Roman"/>
          <w:sz w:val="18"/>
          <w:szCs w:val="18"/>
        </w:rPr>
        <w:t xml:space="preserve">         </w:t>
      </w:r>
      <w:r w:rsidR="00B85436" w:rsidRPr="003122A3">
        <w:rPr>
          <w:rFonts w:ascii="Times New Roman" w:hAnsi="Times New Roman" w:cs="Times New Roman"/>
          <w:sz w:val="18"/>
          <w:szCs w:val="18"/>
        </w:rPr>
        <w:t xml:space="preserve"> </w:t>
      </w:r>
      <w:r w:rsidR="0037531D" w:rsidRPr="003122A3">
        <w:rPr>
          <w:rFonts w:ascii="Times New Roman" w:hAnsi="Times New Roman" w:cs="Times New Roman"/>
          <w:sz w:val="18"/>
          <w:szCs w:val="18"/>
        </w:rPr>
        <w:t>Source: PCBS 2013, Database on Household Consumption and Spending 2011, unpublished data</w:t>
      </w:r>
    </w:p>
    <w:p w:rsidR="00D8054E" w:rsidRPr="003122A3" w:rsidRDefault="0037531D" w:rsidP="008E657F">
      <w:pPr>
        <w:jc w:val="both"/>
        <w:rPr>
          <w:rFonts w:ascii="Times New Roman" w:hAnsi="Times New Roman" w:cs="Times New Roman"/>
          <w:b/>
          <w:bCs/>
          <w:sz w:val="24"/>
          <w:szCs w:val="24"/>
          <w:rtl/>
        </w:rPr>
      </w:pPr>
      <w:r w:rsidRPr="003122A3">
        <w:rPr>
          <w:rFonts w:ascii="Times New Roman" w:hAnsi="Times New Roman" w:cs="Times New Roman"/>
          <w:b/>
          <w:bCs/>
          <w:sz w:val="24"/>
          <w:szCs w:val="24"/>
        </w:rPr>
        <w:t>Consumption by the richest was more than five times the consumption of the poor</w:t>
      </w:r>
    </w:p>
    <w:p w:rsidR="0037531D" w:rsidRDefault="0037531D"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Data show that consumption of the richest was more than five times the consumption of the poor In 2011</w:t>
      </w:r>
      <w:r w:rsidR="00B04761" w:rsidRPr="003122A3">
        <w:rPr>
          <w:rFonts w:ascii="Times New Roman" w:hAnsi="Times New Roman" w:cs="Times New Roman"/>
          <w:sz w:val="24"/>
          <w:szCs w:val="24"/>
        </w:rPr>
        <w:t>. The consumption rate of the 10.0% richest people constituted 21.3% of the total consumption whereas consumption rate of the poorest 10.0% constituted only 4.4% of the total consumption.</w:t>
      </w:r>
    </w:p>
    <w:p w:rsidR="00930C62" w:rsidRPr="003122A3" w:rsidRDefault="00930C62" w:rsidP="00930C62">
      <w:pPr>
        <w:spacing w:after="0" w:line="240" w:lineRule="auto"/>
        <w:jc w:val="both"/>
        <w:rPr>
          <w:rFonts w:ascii="Times New Roman" w:hAnsi="Times New Roman" w:cs="Times New Roman"/>
          <w:sz w:val="24"/>
          <w:szCs w:val="24"/>
          <w:rtl/>
        </w:rPr>
      </w:pPr>
    </w:p>
    <w:p w:rsidR="00AB7EFF" w:rsidRPr="003122A3" w:rsidRDefault="00B04761" w:rsidP="008E657F">
      <w:pPr>
        <w:jc w:val="both"/>
        <w:rPr>
          <w:rFonts w:ascii="Times New Roman" w:hAnsi="Times New Roman" w:cs="Times New Roman"/>
          <w:b/>
          <w:bCs/>
          <w:sz w:val="24"/>
          <w:szCs w:val="24"/>
          <w:rtl/>
        </w:rPr>
      </w:pPr>
      <w:r w:rsidRPr="003122A3">
        <w:rPr>
          <w:rFonts w:ascii="Times New Roman" w:hAnsi="Times New Roman" w:cs="Times New Roman"/>
          <w:b/>
          <w:bCs/>
          <w:sz w:val="24"/>
          <w:szCs w:val="24"/>
        </w:rPr>
        <w:t>Impact of Assistance on the Poor</w:t>
      </w:r>
    </w:p>
    <w:p w:rsidR="00B04761" w:rsidRDefault="00B04761"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Data in 2011 showed a </w:t>
      </w:r>
      <w:proofErr w:type="spellStart"/>
      <w:r w:rsidRPr="003122A3">
        <w:rPr>
          <w:rFonts w:ascii="Times New Roman" w:hAnsi="Times New Roman" w:cs="Times New Roman"/>
          <w:sz w:val="24"/>
          <w:szCs w:val="24"/>
        </w:rPr>
        <w:t>decrerase</w:t>
      </w:r>
      <w:proofErr w:type="spellEnd"/>
      <w:r w:rsidRPr="003122A3">
        <w:rPr>
          <w:rFonts w:ascii="Times New Roman" w:hAnsi="Times New Roman" w:cs="Times New Roman"/>
          <w:sz w:val="24"/>
          <w:szCs w:val="24"/>
        </w:rPr>
        <w:t xml:space="preserve"> in poverty gap by 18.0% after receiving aid; assistance contributed to a reduction of poverty by 22.2%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and 11.9% in the West Bank.</w:t>
      </w:r>
      <w:r w:rsidRPr="003122A3">
        <w:rPr>
          <w:rStyle w:val="FootnoteReference"/>
          <w:rFonts w:ascii="Times New Roman" w:hAnsi="Times New Roman" w:cs="Times New Roman"/>
          <w:sz w:val="24"/>
          <w:szCs w:val="24"/>
          <w:rtl/>
        </w:rPr>
        <w:t xml:space="preserve"> </w:t>
      </w:r>
      <w:r w:rsidRPr="003122A3">
        <w:rPr>
          <w:rStyle w:val="FootnoteReference"/>
          <w:rFonts w:ascii="Times New Roman" w:hAnsi="Times New Roman" w:cs="Times New Roman"/>
          <w:sz w:val="24"/>
          <w:szCs w:val="24"/>
          <w:rtl/>
        </w:rPr>
        <w:footnoteReference w:id="47"/>
      </w:r>
    </w:p>
    <w:p w:rsidR="00930C62" w:rsidRPr="003122A3" w:rsidRDefault="00930C62" w:rsidP="00930C62">
      <w:pPr>
        <w:spacing w:after="0" w:line="240" w:lineRule="auto"/>
        <w:jc w:val="both"/>
        <w:rPr>
          <w:rFonts w:ascii="Times New Roman" w:hAnsi="Times New Roman" w:cs="Times New Roman"/>
          <w:sz w:val="24"/>
          <w:szCs w:val="24"/>
          <w:rtl/>
        </w:rPr>
      </w:pPr>
    </w:p>
    <w:p w:rsidR="00EF4740" w:rsidRPr="003122A3" w:rsidRDefault="00B04761"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Poor children</w:t>
      </w:r>
    </w:p>
    <w:p w:rsidR="005550F8" w:rsidRDefault="00B04761"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Rate of poor children in 2011 increased mainly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Rate of poor children in 2011 was 27.2% (18.4% in the West Bank and 39.3% </w:t>
      </w:r>
      <w:r w:rsidR="00A91E3A">
        <w:rPr>
          <w:rFonts w:ascii="Times New Roman" w:hAnsi="Times New Roman" w:cs="Times New Roman"/>
          <w:sz w:val="24"/>
          <w:szCs w:val="24"/>
        </w:rPr>
        <w:t>in Gaza Strip</w:t>
      </w:r>
      <w:r w:rsidR="00A1183F" w:rsidRPr="003122A3">
        <w:rPr>
          <w:rFonts w:ascii="Times New Roman" w:hAnsi="Times New Roman" w:cs="Times New Roman"/>
          <w:sz w:val="24"/>
          <w:szCs w:val="24"/>
        </w:rPr>
        <w:t>)</w:t>
      </w:r>
      <w:r w:rsidRPr="003122A3">
        <w:rPr>
          <w:rFonts w:ascii="Times New Roman" w:hAnsi="Times New Roman" w:cs="Times New Roman"/>
          <w:sz w:val="24"/>
          <w:szCs w:val="24"/>
        </w:rPr>
        <w:t xml:space="preserve"> This shows an increase in the rate of poor children by 1.1% compared to 2010. Deep poverty rates attained 26.9% while the rate of children suffering deep poverty fell by 4.8% between 2010 and 2011. Such rate was 14.6% in 2010 and fell to 13.9% in 2011. Inequality indicator in 2011 decreased slightly compared to 2010, falling from 41.0% in 2010 to 40.3% in 2011.</w:t>
      </w:r>
    </w:p>
    <w:p w:rsidR="00930C62" w:rsidRPr="003122A3" w:rsidRDefault="00930C62" w:rsidP="00930C62">
      <w:pPr>
        <w:spacing w:after="0" w:line="240" w:lineRule="auto"/>
        <w:jc w:val="both"/>
        <w:rPr>
          <w:rFonts w:ascii="Times New Roman" w:hAnsi="Times New Roman" w:cs="Times New Roman"/>
          <w:sz w:val="24"/>
          <w:szCs w:val="24"/>
          <w:rtl/>
        </w:rPr>
      </w:pPr>
    </w:p>
    <w:p w:rsidR="00B04761" w:rsidRPr="003122A3" w:rsidRDefault="00663A58" w:rsidP="00B85436">
      <w:pPr>
        <w:pStyle w:val="Caption"/>
        <w:bidi w:val="0"/>
        <w:rPr>
          <w:b w:val="0"/>
          <w:bCs w:val="0"/>
          <w:sz w:val="22"/>
          <w:szCs w:val="22"/>
        </w:rPr>
      </w:pPr>
      <w:bookmarkStart w:id="82" w:name="_Toc420268245"/>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31</w:t>
      </w:r>
      <w:r w:rsidR="008F57C8" w:rsidRPr="003122A3">
        <w:rPr>
          <w:sz w:val="22"/>
          <w:szCs w:val="24"/>
        </w:rPr>
        <w:fldChar w:fldCharType="end"/>
      </w:r>
      <w:r w:rsidRPr="003122A3">
        <w:rPr>
          <w:sz w:val="22"/>
          <w:szCs w:val="24"/>
        </w:rPr>
        <w:t>: Percentage of Poor Children by Region 2009-2011</w:t>
      </w:r>
      <w:bookmarkEnd w:id="82"/>
    </w:p>
    <w:p w:rsidR="00B04761" w:rsidRPr="003122A3" w:rsidRDefault="00B04761" w:rsidP="00B85436">
      <w:pPr>
        <w:jc w:val="center"/>
        <w:rPr>
          <w:rFonts w:ascii="Times New Roman" w:hAnsi="Times New Roman" w:cs="Times New Roman"/>
          <w:b/>
          <w:bCs/>
          <w:sz w:val="24"/>
          <w:szCs w:val="24"/>
        </w:rPr>
      </w:pPr>
      <w:r w:rsidRPr="003122A3">
        <w:rPr>
          <w:rFonts w:ascii="Times New Roman" w:hAnsi="Times New Roman" w:cs="Times New Roman"/>
          <w:b/>
          <w:bCs/>
          <w:noProof/>
          <w:sz w:val="24"/>
          <w:szCs w:val="24"/>
        </w:rPr>
        <w:drawing>
          <wp:inline distT="0" distB="0" distL="0" distR="0">
            <wp:extent cx="5733415" cy="2371725"/>
            <wp:effectExtent l="57150" t="0" r="76835" b="85725"/>
            <wp:docPr id="126"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B04761" w:rsidRPr="003122A3" w:rsidRDefault="00B85436" w:rsidP="008E657F">
      <w:pPr>
        <w:jc w:val="both"/>
        <w:rPr>
          <w:rFonts w:ascii="Times New Roman" w:hAnsi="Times New Roman" w:cs="Times New Roman"/>
          <w:sz w:val="24"/>
          <w:szCs w:val="24"/>
        </w:rPr>
      </w:pPr>
      <w:r w:rsidRPr="003122A3">
        <w:rPr>
          <w:rFonts w:ascii="Times New Roman" w:hAnsi="Times New Roman" w:cs="Times New Roman"/>
          <w:sz w:val="18"/>
          <w:szCs w:val="18"/>
        </w:rPr>
        <w:t xml:space="preserve">     </w:t>
      </w:r>
      <w:r w:rsidR="00B04761" w:rsidRPr="003122A3">
        <w:rPr>
          <w:rFonts w:ascii="Times New Roman" w:hAnsi="Times New Roman" w:cs="Times New Roman"/>
          <w:sz w:val="18"/>
          <w:szCs w:val="18"/>
        </w:rPr>
        <w:t> Source: Palestinian Central Bureau of Statistics, 2013. Expenditure and Consumption Survey database 2011, (unpublished data..)</w:t>
      </w:r>
    </w:p>
    <w:p w:rsidR="00890F72" w:rsidRPr="003122A3" w:rsidRDefault="00B04761" w:rsidP="008E657F">
      <w:pPr>
        <w:jc w:val="both"/>
        <w:rPr>
          <w:rFonts w:ascii="Times New Roman" w:hAnsi="Times New Roman" w:cs="Times New Roman"/>
          <w:b/>
          <w:bCs/>
          <w:sz w:val="24"/>
          <w:szCs w:val="24"/>
          <w:rtl/>
        </w:rPr>
      </w:pPr>
      <w:r w:rsidRPr="003122A3">
        <w:rPr>
          <w:rFonts w:ascii="Times New Roman" w:hAnsi="Times New Roman" w:cs="Times New Roman"/>
          <w:b/>
          <w:bCs/>
          <w:sz w:val="24"/>
          <w:szCs w:val="24"/>
        </w:rPr>
        <w:t>Over half a million poor children in 2011</w:t>
      </w:r>
    </w:p>
    <w:p w:rsidR="00A42CF9" w:rsidRDefault="00A42CF9"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number of poor children in 2011 was 546,000, which an increase when compared to its 544,00 level of 2010.</w:t>
      </w:r>
    </w:p>
    <w:p w:rsidR="00930C62" w:rsidRPr="003122A3" w:rsidRDefault="00930C62" w:rsidP="00930C62">
      <w:pPr>
        <w:spacing w:after="0" w:line="240" w:lineRule="auto"/>
        <w:jc w:val="both"/>
        <w:rPr>
          <w:rFonts w:ascii="Times New Roman" w:hAnsi="Times New Roman" w:cs="Times New Roman"/>
          <w:sz w:val="24"/>
          <w:szCs w:val="24"/>
        </w:rPr>
      </w:pPr>
    </w:p>
    <w:p w:rsidR="00216FDB" w:rsidRPr="003122A3" w:rsidRDefault="00216FDB"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Social Monetary Assistance</w:t>
      </w:r>
    </w:p>
    <w:p w:rsidR="00216FDB" w:rsidRDefault="00216FDB"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Ministry of Social Affairs provides contingency monetary assistance to children and exemption of school donations for children registered in its programs. It also grants customs duties exemption for purchase of car for children with disabilities and provides health insurance for children registered for this purpose; it also provides in-kind assistance. UNRWA also offers refugee children in the West Bank with cash and food assistance. In some cases, </w:t>
      </w:r>
      <w:proofErr w:type="spellStart"/>
      <w:r w:rsidRPr="003122A3">
        <w:rPr>
          <w:rFonts w:ascii="Times New Roman" w:hAnsi="Times New Roman" w:cs="Times New Roman"/>
          <w:sz w:val="24"/>
          <w:szCs w:val="24"/>
        </w:rPr>
        <w:t>MoSA</w:t>
      </w:r>
      <w:proofErr w:type="spellEnd"/>
      <w:r w:rsidRPr="003122A3">
        <w:rPr>
          <w:rFonts w:ascii="Times New Roman" w:hAnsi="Times New Roman" w:cs="Times New Roman"/>
          <w:sz w:val="24"/>
          <w:szCs w:val="24"/>
        </w:rPr>
        <w:t xml:space="preserve"> also provides cash assistance to refugees. International </w:t>
      </w:r>
      <w:proofErr w:type="spellStart"/>
      <w:r w:rsidRPr="003122A3">
        <w:rPr>
          <w:rFonts w:ascii="Times New Roman" w:hAnsi="Times New Roman" w:cs="Times New Roman"/>
          <w:sz w:val="24"/>
          <w:szCs w:val="24"/>
        </w:rPr>
        <w:t>roganizations</w:t>
      </w:r>
      <w:proofErr w:type="spellEnd"/>
      <w:r w:rsidRPr="003122A3">
        <w:rPr>
          <w:rFonts w:ascii="Times New Roman" w:hAnsi="Times New Roman" w:cs="Times New Roman"/>
          <w:sz w:val="24"/>
          <w:szCs w:val="24"/>
        </w:rPr>
        <w:t xml:space="preserve"> offer food and humanitarian aid but that is linked to the availability of support, as previously stated. There are also religious, charitable and social institutions like the </w:t>
      </w:r>
      <w:proofErr w:type="spellStart"/>
      <w:r w:rsidRPr="003122A3">
        <w:rPr>
          <w:rFonts w:ascii="Times New Roman" w:hAnsi="Times New Roman" w:cs="Times New Roman"/>
          <w:sz w:val="24"/>
          <w:szCs w:val="24"/>
        </w:rPr>
        <w:t>Zakat</w:t>
      </w:r>
      <w:proofErr w:type="spellEnd"/>
      <w:r w:rsidRPr="003122A3">
        <w:rPr>
          <w:rFonts w:ascii="Times New Roman" w:hAnsi="Times New Roman" w:cs="Times New Roman"/>
          <w:sz w:val="24"/>
          <w:szCs w:val="24"/>
        </w:rPr>
        <w:t xml:space="preserve"> Committee, which offer cash and in-kind assistance and food to needy families.</w:t>
      </w:r>
    </w:p>
    <w:p w:rsidR="00930C62" w:rsidRPr="003122A3" w:rsidRDefault="00930C62" w:rsidP="00930C62">
      <w:pPr>
        <w:spacing w:after="0" w:line="240" w:lineRule="auto"/>
        <w:jc w:val="both"/>
        <w:rPr>
          <w:rFonts w:ascii="Times New Roman" w:hAnsi="Times New Roman" w:cs="Times New Roman"/>
          <w:sz w:val="24"/>
          <w:szCs w:val="24"/>
          <w:rtl/>
        </w:rPr>
      </w:pPr>
    </w:p>
    <w:p w:rsidR="00216FDB" w:rsidRDefault="00216FDB"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Databases of the Ministry of Social Affairs indicate that it provided 71,455 children in the West Bank and 178,284 children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with cash assistance in 2014</w:t>
      </w:r>
      <w:r w:rsidRPr="003122A3">
        <w:rPr>
          <w:rStyle w:val="FootnoteReference"/>
          <w:rFonts w:ascii="Times New Roman" w:hAnsi="Times New Roman" w:cs="Times New Roman"/>
          <w:sz w:val="24"/>
          <w:szCs w:val="24"/>
          <w:rtl/>
        </w:rPr>
        <w:footnoteReference w:id="48"/>
      </w:r>
      <w:r w:rsidRPr="003122A3">
        <w:rPr>
          <w:rFonts w:ascii="Times New Roman" w:hAnsi="Times New Roman" w:cs="Times New Roman"/>
          <w:sz w:val="24"/>
          <w:szCs w:val="24"/>
        </w:rPr>
        <w:t xml:space="preserve">. The number of children with chronic diseases receiving cash assistance was 5,338 in the West Bank and 8,889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Moreover, 4,924 children with disabilities in the West Bank receive cash assistance and 7,462 other </w:t>
      </w:r>
      <w:r w:rsidR="00A91E3A">
        <w:rPr>
          <w:rFonts w:ascii="Times New Roman" w:hAnsi="Times New Roman" w:cs="Times New Roman"/>
          <w:sz w:val="24"/>
          <w:szCs w:val="24"/>
        </w:rPr>
        <w:t>in Gaza Strip</w:t>
      </w:r>
      <w:r w:rsidRPr="003122A3">
        <w:rPr>
          <w:rFonts w:ascii="Times New Roman" w:hAnsi="Times New Roman" w:cs="Times New Roman"/>
          <w:sz w:val="24"/>
          <w:szCs w:val="24"/>
        </w:rPr>
        <w:t>.</w:t>
      </w:r>
    </w:p>
    <w:p w:rsidR="00930C62" w:rsidRPr="003122A3" w:rsidRDefault="00930C62" w:rsidP="00930C62">
      <w:pPr>
        <w:spacing w:after="0" w:line="240" w:lineRule="auto"/>
        <w:jc w:val="both"/>
        <w:rPr>
          <w:rFonts w:ascii="Times New Roman" w:hAnsi="Times New Roman" w:cs="Times New Roman"/>
          <w:sz w:val="24"/>
          <w:szCs w:val="24"/>
          <w:rtl/>
        </w:rPr>
      </w:pPr>
    </w:p>
    <w:p w:rsidR="00216FDB" w:rsidRPr="003122A3" w:rsidRDefault="00216FDB" w:rsidP="00930C62">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The number of children of social hardship households receiving exemption of school fees attained 29,588 in the West Bank while the number of children of the same category receiving food assistance was 38,420 in the West Bank and the number of children covered by health insurance was 32,665 while families of 3,745 children received contingency assistance in the West Bank. Data was not available for the Gaza Strip.</w:t>
      </w:r>
    </w:p>
    <w:p w:rsidR="00663A58" w:rsidRPr="003122A3" w:rsidRDefault="00663A58" w:rsidP="00B85436">
      <w:pPr>
        <w:pStyle w:val="Caption"/>
        <w:bidi w:val="0"/>
        <w:rPr>
          <w:sz w:val="22"/>
          <w:szCs w:val="22"/>
        </w:rPr>
      </w:pPr>
      <w:bookmarkStart w:id="83" w:name="_Toc420268246"/>
      <w:r w:rsidRPr="003122A3">
        <w:rPr>
          <w:sz w:val="22"/>
          <w:szCs w:val="22"/>
        </w:rPr>
        <w:t>Figure</w:t>
      </w:r>
      <w:r w:rsidR="007277B1"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32</w:t>
      </w:r>
      <w:r w:rsidR="008F57C8" w:rsidRPr="003122A3">
        <w:rPr>
          <w:sz w:val="22"/>
          <w:szCs w:val="22"/>
          <w:rtl/>
        </w:rPr>
        <w:fldChar w:fldCharType="end"/>
      </w:r>
      <w:r w:rsidRPr="003122A3">
        <w:rPr>
          <w:sz w:val="22"/>
          <w:szCs w:val="22"/>
        </w:rPr>
        <w:t>: Number of Children Receiving Social Assistance by Region and Health Status, 2014</w:t>
      </w:r>
      <w:bookmarkEnd w:id="83"/>
    </w:p>
    <w:p w:rsidR="00420DC9" w:rsidRPr="003122A3" w:rsidRDefault="00420DC9" w:rsidP="008E657F">
      <w:pPr>
        <w:jc w:val="both"/>
        <w:rPr>
          <w:rFonts w:ascii="Times New Roman" w:hAnsi="Times New Roman" w:cs="Times New Roman"/>
          <w:sz w:val="24"/>
          <w:szCs w:val="24"/>
          <w:rtl/>
        </w:rPr>
      </w:pPr>
      <w:r w:rsidRPr="003122A3">
        <w:rPr>
          <w:rFonts w:ascii="Times New Roman" w:hAnsi="Times New Roman" w:cs="Times New Roman"/>
          <w:noProof/>
          <w:rtl/>
        </w:rPr>
        <w:drawing>
          <wp:inline distT="0" distB="0" distL="0" distR="0">
            <wp:extent cx="5482805" cy="2329132"/>
            <wp:effectExtent l="19050" t="0" r="22645" b="0"/>
            <wp:docPr id="3"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86B20" w:rsidRPr="003122A3" w:rsidRDefault="00F8144A" w:rsidP="008E657F">
      <w:pPr>
        <w:jc w:val="both"/>
        <w:rPr>
          <w:rFonts w:ascii="Times New Roman" w:hAnsi="Times New Roman" w:cs="Times New Roman"/>
          <w:sz w:val="18"/>
          <w:szCs w:val="18"/>
          <w:rtl/>
        </w:rPr>
      </w:pPr>
      <w:r w:rsidRPr="003122A3">
        <w:rPr>
          <w:rFonts w:ascii="Times New Roman" w:hAnsi="Times New Roman" w:cs="Times New Roman"/>
          <w:sz w:val="18"/>
          <w:szCs w:val="18"/>
          <w:rtl/>
        </w:rPr>
        <w:t xml:space="preserve">       </w:t>
      </w:r>
      <w:r w:rsidR="00216FDB" w:rsidRPr="003122A3">
        <w:rPr>
          <w:rFonts w:ascii="Times New Roman" w:hAnsi="Times New Roman" w:cs="Times New Roman"/>
          <w:sz w:val="18"/>
          <w:szCs w:val="18"/>
        </w:rPr>
        <w:t xml:space="preserve">Source, </w:t>
      </w:r>
      <w:proofErr w:type="spellStart"/>
      <w:r w:rsidR="00216FDB" w:rsidRPr="003122A3">
        <w:rPr>
          <w:rFonts w:ascii="Times New Roman" w:hAnsi="Times New Roman" w:cs="Times New Roman"/>
          <w:sz w:val="18"/>
          <w:szCs w:val="18"/>
        </w:rPr>
        <w:t>MoSA</w:t>
      </w:r>
      <w:proofErr w:type="spellEnd"/>
      <w:r w:rsidR="00216FDB" w:rsidRPr="003122A3">
        <w:rPr>
          <w:rFonts w:ascii="Times New Roman" w:hAnsi="Times New Roman" w:cs="Times New Roman"/>
          <w:sz w:val="18"/>
          <w:szCs w:val="18"/>
        </w:rPr>
        <w:t>, 2014</w:t>
      </w:r>
    </w:p>
    <w:p w:rsidR="00216FDB" w:rsidRPr="003122A3" w:rsidRDefault="00216FDB" w:rsidP="008E657F">
      <w:pPr>
        <w:jc w:val="both"/>
        <w:rPr>
          <w:rFonts w:ascii="Times New Roman" w:hAnsi="Times New Roman" w:cs="Times New Roman"/>
          <w:b/>
          <w:bCs/>
          <w:sz w:val="24"/>
          <w:szCs w:val="24"/>
        </w:rPr>
      </w:pPr>
      <w:bookmarkStart w:id="84" w:name="_Toc420245003"/>
      <w:r w:rsidRPr="003122A3">
        <w:rPr>
          <w:rStyle w:val="Heading2Char"/>
          <w:rFonts w:ascii="Times New Roman" w:hAnsi="Times New Roman" w:cs="Times New Roman"/>
          <w:sz w:val="24"/>
          <w:szCs w:val="24"/>
        </w:rPr>
        <w:t>6.4 Children in Conflict with the Law</w:t>
      </w:r>
      <w:bookmarkEnd w:id="84"/>
      <w:r w:rsidR="00EE39D7">
        <w:rPr>
          <w:rStyle w:val="Heading2Char"/>
          <w:rFonts w:ascii="Times New Roman" w:hAnsi="Times New Roman" w:cs="Times New Roman"/>
          <w:sz w:val="24"/>
          <w:szCs w:val="24"/>
        </w:rPr>
        <w:t xml:space="preserve"> </w:t>
      </w:r>
      <w:r w:rsidRPr="00EE39D7">
        <w:rPr>
          <w:rStyle w:val="FootnoteReference"/>
          <w:rFonts w:ascii="Times New Roman" w:hAnsi="Times New Roman" w:cs="Times New Roman"/>
          <w:b/>
          <w:bCs/>
          <w:sz w:val="24"/>
          <w:szCs w:val="24"/>
        </w:rPr>
        <w:footnoteReference w:id="49"/>
      </w:r>
    </w:p>
    <w:p w:rsidR="00216FDB" w:rsidRDefault="00216FDB"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Children and juveniles form a fundamental part of the human resources of our people. In the context of the adverse changes and conditions experienced in Palestine, there is an urgent need to motivate juveniles to play a positive role in the building of the state. It is no exaggeration to say that the future of our people depends to a large extent on the investment made in children and juveniles in terms of cultural, educational, social, economic and psychological services. Numerous studies have indicated that juvenile delinquency as a social phenomenon is a growing problem in Palestine. Probation reports make clear that concerted efforts are required at national and local levels to reduce child delinquency.</w:t>
      </w:r>
      <w:r w:rsidRPr="003122A3">
        <w:rPr>
          <w:rStyle w:val="FootnoteReference"/>
          <w:rFonts w:ascii="Times New Roman" w:hAnsi="Times New Roman" w:cs="Times New Roman"/>
          <w:sz w:val="24"/>
          <w:szCs w:val="24"/>
        </w:rPr>
        <w:footnoteReference w:id="50"/>
      </w:r>
    </w:p>
    <w:p w:rsidR="00930C62" w:rsidRPr="003122A3" w:rsidRDefault="00930C62" w:rsidP="00930C62">
      <w:pPr>
        <w:spacing w:after="0" w:line="240" w:lineRule="auto"/>
        <w:jc w:val="both"/>
        <w:rPr>
          <w:rFonts w:ascii="Times New Roman" w:hAnsi="Times New Roman" w:cs="Times New Roman"/>
          <w:sz w:val="24"/>
          <w:szCs w:val="24"/>
        </w:rPr>
      </w:pPr>
    </w:p>
    <w:p w:rsidR="004976FC" w:rsidRPr="003122A3" w:rsidRDefault="00216FDB" w:rsidP="008E657F">
      <w:pPr>
        <w:jc w:val="both"/>
        <w:rPr>
          <w:rFonts w:ascii="Times New Roman" w:hAnsi="Times New Roman" w:cs="Times New Roman"/>
          <w:b/>
          <w:bCs/>
          <w:sz w:val="24"/>
          <w:szCs w:val="24"/>
          <w:rtl/>
        </w:rPr>
      </w:pPr>
      <w:r w:rsidRPr="003122A3">
        <w:rPr>
          <w:rFonts w:ascii="Times New Roman" w:hAnsi="Times New Roman" w:cs="Times New Roman"/>
          <w:b/>
          <w:bCs/>
          <w:sz w:val="24"/>
          <w:szCs w:val="24"/>
        </w:rPr>
        <w:t xml:space="preserve">Number of </w:t>
      </w:r>
      <w:proofErr w:type="spellStart"/>
      <w:r w:rsidRPr="003122A3">
        <w:rPr>
          <w:rFonts w:ascii="Times New Roman" w:hAnsi="Times New Roman" w:cs="Times New Roman"/>
          <w:b/>
          <w:bCs/>
          <w:sz w:val="24"/>
          <w:szCs w:val="24"/>
        </w:rPr>
        <w:t>Juevenile</w:t>
      </w:r>
      <w:proofErr w:type="spellEnd"/>
      <w:r w:rsidRPr="003122A3">
        <w:rPr>
          <w:rFonts w:ascii="Times New Roman" w:hAnsi="Times New Roman" w:cs="Times New Roman"/>
          <w:b/>
          <w:bCs/>
          <w:sz w:val="24"/>
          <w:szCs w:val="24"/>
        </w:rPr>
        <w:t xml:space="preserve"> Offenders </w:t>
      </w:r>
      <w:r w:rsidR="008A2561" w:rsidRPr="00EE39D7">
        <w:rPr>
          <w:rFonts w:ascii="Times New Roman" w:hAnsi="Times New Roman" w:cs="Times New Roman"/>
          <w:b/>
          <w:bCs/>
          <w:sz w:val="24"/>
          <w:szCs w:val="24"/>
          <w:vertAlign w:val="superscript"/>
          <w:rtl/>
        </w:rPr>
        <w:t>50</w:t>
      </w: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Since 2009, children who are found guilty of offences have been referred for rehabilitation. The numbers of children charged with offenses increases with age and is higher for males than females. Offenses relate to theft, vandalism and assault and offenders most often come from families with poor economic circumstances, followed by families with a middle income and large families. The highest percentage of offenders was from Ramallah and Al-</w:t>
      </w:r>
      <w:proofErr w:type="spellStart"/>
      <w:r w:rsidRPr="003122A3">
        <w:rPr>
          <w:rFonts w:ascii="Times New Roman" w:hAnsi="Times New Roman" w:cs="Times New Roman"/>
          <w:sz w:val="24"/>
          <w:szCs w:val="24"/>
        </w:rPr>
        <w:t>Bireh</w:t>
      </w:r>
      <w:proofErr w:type="spellEnd"/>
      <w:r w:rsidRPr="003122A3">
        <w:rPr>
          <w:rFonts w:ascii="Times New Roman" w:hAnsi="Times New Roman" w:cs="Times New Roman"/>
          <w:sz w:val="24"/>
          <w:szCs w:val="24"/>
        </w:rPr>
        <w:t>.  The influence of other offenders and difficulties in the home situation contributed to delinquency: around half of offenders are school students. Not sure that all cases reach a verdict , but for those got a verdict,  the sentences ranged from fines, to admission to a rehabilitation center or other supervised facility, to imprisonment. In some cases, an acquittal was issued or the charges were dropped on a guarantee of good behavior. In most cases offenders were placed under supervision, with the imposition of fines or admission to a rehabilitation center less common outcomes.</w:t>
      </w:r>
    </w:p>
    <w:p w:rsidR="00930C62" w:rsidRPr="003122A3" w:rsidRDefault="00930C62" w:rsidP="00930C62">
      <w:pPr>
        <w:spacing w:after="0" w:line="240" w:lineRule="auto"/>
        <w:jc w:val="both"/>
        <w:rPr>
          <w:rFonts w:ascii="Times New Roman" w:hAnsi="Times New Roman" w:cs="Times New Roman"/>
          <w:sz w:val="24"/>
          <w:szCs w:val="24"/>
        </w:rPr>
      </w:pP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Juvenile offenders can be stigmatized, resulting in difficulties reintegrating into school and the community. Although, these children got medical checks and medication, but this is not done on a regular basis and they are not followed up academically or receive regular education, it is required to rehabilitation and to be integrated in the community. </w:t>
      </w:r>
    </w:p>
    <w:p w:rsidR="00930C62" w:rsidRPr="003122A3" w:rsidRDefault="00930C62" w:rsidP="00930C62">
      <w:pPr>
        <w:spacing w:after="0" w:line="240" w:lineRule="auto"/>
        <w:jc w:val="both"/>
        <w:rPr>
          <w:rFonts w:ascii="Times New Roman" w:hAnsi="Times New Roman" w:cs="Times New Roman"/>
          <w:sz w:val="24"/>
          <w:szCs w:val="24"/>
        </w:rPr>
      </w:pPr>
    </w:p>
    <w:p w:rsidR="009B6EC0" w:rsidRPr="003122A3" w:rsidRDefault="00A77FE6" w:rsidP="00930C62">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Children who face charges remain in special rooms in their confinement center without any rehabilitation process before returning to their homes, leaving their issues to be addressed by the police or the prosecution. In other cases, a child is placed in a rehabilitation center while awaiting a verdict.</w:t>
      </w:r>
    </w:p>
    <w:p w:rsidR="00B85436" w:rsidRPr="003122A3" w:rsidRDefault="00B85436" w:rsidP="00B85436">
      <w:pPr>
        <w:pStyle w:val="Caption"/>
        <w:bidi w:val="0"/>
      </w:pPr>
      <w:bookmarkStart w:id="85" w:name="_Toc420268247"/>
    </w:p>
    <w:p w:rsidR="00A77FE6" w:rsidRPr="003122A3" w:rsidRDefault="00663A58" w:rsidP="00A1183F">
      <w:pPr>
        <w:pStyle w:val="Caption"/>
        <w:bidi w:val="0"/>
        <w:rPr>
          <w:b w:val="0"/>
          <w:bCs w:val="0"/>
          <w:sz w:val="22"/>
          <w:szCs w:val="22"/>
          <w:rtl/>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33</w:t>
      </w:r>
      <w:r w:rsidR="008F57C8" w:rsidRPr="003122A3">
        <w:rPr>
          <w:sz w:val="22"/>
          <w:szCs w:val="24"/>
        </w:rPr>
        <w:fldChar w:fldCharType="end"/>
      </w:r>
      <w:r w:rsidRPr="003122A3">
        <w:rPr>
          <w:sz w:val="22"/>
          <w:szCs w:val="24"/>
        </w:rPr>
        <w:t>: Number of Children Admitted to A</w:t>
      </w:r>
      <w:r w:rsidR="00A1183F" w:rsidRPr="003122A3">
        <w:rPr>
          <w:sz w:val="22"/>
          <w:szCs w:val="24"/>
        </w:rPr>
        <w:t>L-A</w:t>
      </w:r>
      <w:r w:rsidRPr="003122A3">
        <w:rPr>
          <w:sz w:val="22"/>
          <w:szCs w:val="24"/>
        </w:rPr>
        <w:t>mal Rehabilitation Center for Observation and Social Care in the West Bank 2009-2014</w:t>
      </w:r>
      <w:bookmarkEnd w:id="85"/>
    </w:p>
    <w:p w:rsidR="00C61D76" w:rsidRPr="003122A3" w:rsidRDefault="004624AD" w:rsidP="00B85436">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678888" cy="2011680"/>
            <wp:effectExtent l="19050" t="0" r="17062" b="762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A0150C" w:rsidRPr="003122A3" w:rsidRDefault="00B85436" w:rsidP="008E657F">
      <w:pPr>
        <w:jc w:val="both"/>
        <w:rPr>
          <w:rFonts w:ascii="Times New Roman" w:hAnsi="Times New Roman" w:cs="Times New Roman"/>
          <w:sz w:val="18"/>
          <w:szCs w:val="18"/>
          <w:rtl/>
        </w:rPr>
      </w:pPr>
      <w:r w:rsidRPr="003122A3">
        <w:rPr>
          <w:rFonts w:ascii="Times New Roman" w:hAnsi="Times New Roman" w:cs="Times New Roman"/>
          <w:sz w:val="18"/>
          <w:szCs w:val="18"/>
        </w:rPr>
        <w:t xml:space="preserve">        </w:t>
      </w:r>
      <w:r w:rsidR="00A95130" w:rsidRPr="003122A3">
        <w:rPr>
          <w:rFonts w:ascii="Times New Roman" w:hAnsi="Times New Roman" w:cs="Times New Roman"/>
          <w:sz w:val="18"/>
          <w:szCs w:val="18"/>
        </w:rPr>
        <w:t xml:space="preserve">   </w:t>
      </w:r>
      <w:r w:rsidR="00677FAD" w:rsidRPr="003122A3">
        <w:rPr>
          <w:rFonts w:ascii="Times New Roman" w:hAnsi="Times New Roman" w:cs="Times New Roman"/>
          <w:sz w:val="18"/>
          <w:szCs w:val="18"/>
        </w:rPr>
        <w:t xml:space="preserve">Source: </w:t>
      </w:r>
      <w:proofErr w:type="spellStart"/>
      <w:r w:rsidR="00677FAD" w:rsidRPr="003122A3">
        <w:rPr>
          <w:rFonts w:ascii="Times New Roman" w:hAnsi="Times New Roman" w:cs="Times New Roman"/>
          <w:sz w:val="18"/>
          <w:szCs w:val="18"/>
        </w:rPr>
        <w:t>MoSA</w:t>
      </w:r>
      <w:proofErr w:type="spellEnd"/>
      <w:r w:rsidR="00677FAD" w:rsidRPr="003122A3">
        <w:rPr>
          <w:rFonts w:ascii="Times New Roman" w:hAnsi="Times New Roman" w:cs="Times New Roman"/>
          <w:sz w:val="18"/>
          <w:szCs w:val="18"/>
        </w:rPr>
        <w:t>, 2014</w:t>
      </w:r>
      <w:r w:rsidR="00572B9E" w:rsidRPr="003122A3">
        <w:rPr>
          <w:rFonts w:ascii="Times New Roman" w:hAnsi="Times New Roman" w:cs="Times New Roman"/>
          <w:sz w:val="18"/>
          <w:szCs w:val="18"/>
          <w:rtl/>
        </w:rPr>
        <w:t>.</w:t>
      </w:r>
    </w:p>
    <w:p w:rsidR="00A9223C" w:rsidRPr="003122A3" w:rsidRDefault="00A77FE6" w:rsidP="008E657F">
      <w:pPr>
        <w:jc w:val="both"/>
        <w:rPr>
          <w:rFonts w:ascii="Times New Roman" w:hAnsi="Times New Roman" w:cs="Times New Roman"/>
          <w:b/>
          <w:bCs/>
          <w:sz w:val="24"/>
          <w:szCs w:val="24"/>
          <w:rtl/>
        </w:rPr>
      </w:pPr>
      <w:r w:rsidRPr="003122A3">
        <w:rPr>
          <w:rFonts w:ascii="Times New Roman" w:hAnsi="Times New Roman" w:cs="Times New Roman"/>
          <w:b/>
          <w:bCs/>
          <w:sz w:val="24"/>
          <w:szCs w:val="24"/>
        </w:rPr>
        <w:t>Health Care and Social Services</w:t>
      </w: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Children receive medical checkups in the child care centers and receive medicines in the form of social assistance depending on their needs, as reported by Dar </w:t>
      </w:r>
      <w:proofErr w:type="spellStart"/>
      <w:r w:rsidRPr="003122A3">
        <w:rPr>
          <w:rFonts w:ascii="Times New Roman" w:hAnsi="Times New Roman" w:cs="Times New Roman"/>
          <w:sz w:val="24"/>
          <w:szCs w:val="24"/>
        </w:rPr>
        <w:t>Alamal</w:t>
      </w:r>
      <w:proofErr w:type="spellEnd"/>
      <w:r w:rsidRPr="003122A3">
        <w:rPr>
          <w:rFonts w:ascii="Times New Roman" w:hAnsi="Times New Roman" w:cs="Times New Roman"/>
          <w:sz w:val="24"/>
          <w:szCs w:val="24"/>
        </w:rPr>
        <w:t xml:space="preserve"> for Social Care and Observation. All such assistance received by child care centers comprise mostly drugs.</w:t>
      </w:r>
    </w:p>
    <w:p w:rsidR="00930C62" w:rsidRPr="003122A3" w:rsidRDefault="00930C62" w:rsidP="00930C62">
      <w:pPr>
        <w:spacing w:after="0" w:line="240" w:lineRule="auto"/>
        <w:jc w:val="both"/>
        <w:rPr>
          <w:rFonts w:ascii="Times New Roman" w:hAnsi="Times New Roman" w:cs="Times New Roman"/>
          <w:sz w:val="24"/>
          <w:szCs w:val="24"/>
        </w:rPr>
      </w:pPr>
    </w:p>
    <w:p w:rsidR="00A77FE6" w:rsidRPr="003122A3" w:rsidRDefault="00A77FE6"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Number of Children, Geographical Distribution and Motives for Delinquency</w:t>
      </w: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1,945 children were admitted to behavior surveillance in the West Bank in 2014, including 1,917 males and 28 females. The highest rates were in </w:t>
      </w:r>
      <w:proofErr w:type="spellStart"/>
      <w:r w:rsidRPr="003122A3">
        <w:rPr>
          <w:rFonts w:ascii="Times New Roman" w:hAnsi="Times New Roman" w:cs="Times New Roman"/>
          <w:sz w:val="24"/>
          <w:szCs w:val="24"/>
        </w:rPr>
        <w:t>Qalqilia</w:t>
      </w:r>
      <w:proofErr w:type="spellEnd"/>
      <w:r w:rsidRPr="003122A3">
        <w:rPr>
          <w:rFonts w:ascii="Times New Roman" w:hAnsi="Times New Roman" w:cs="Times New Roman"/>
          <w:sz w:val="24"/>
          <w:szCs w:val="24"/>
        </w:rPr>
        <w:t xml:space="preserve"> (312 cases), followed by Ramallah and Nablus and </w:t>
      </w:r>
      <w:proofErr w:type="spellStart"/>
      <w:r w:rsidRPr="003122A3">
        <w:rPr>
          <w:rFonts w:ascii="Times New Roman" w:hAnsi="Times New Roman" w:cs="Times New Roman"/>
          <w:sz w:val="24"/>
          <w:szCs w:val="24"/>
        </w:rPr>
        <w:t>Tulkarem</w:t>
      </w:r>
      <w:proofErr w:type="spellEnd"/>
      <w:r w:rsidRPr="003122A3">
        <w:rPr>
          <w:rFonts w:ascii="Times New Roman" w:hAnsi="Times New Roman" w:cs="Times New Roman"/>
          <w:sz w:val="24"/>
          <w:szCs w:val="24"/>
        </w:rPr>
        <w:t xml:space="preserve"> (270, 263 and 231 respectively). Most cases were male (98.6%) and the female cases represented 1.4%.</w:t>
      </w:r>
      <w:r w:rsidRPr="003122A3">
        <w:rPr>
          <w:rStyle w:val="FootnoteReference"/>
          <w:rFonts w:ascii="Times New Roman" w:hAnsi="Times New Roman" w:cs="Times New Roman"/>
          <w:sz w:val="24"/>
          <w:szCs w:val="24"/>
          <w:rtl/>
        </w:rPr>
        <w:footnoteReference w:id="51"/>
      </w:r>
    </w:p>
    <w:p w:rsidR="00930C62" w:rsidRPr="003122A3" w:rsidRDefault="00930C62" w:rsidP="00930C62">
      <w:pPr>
        <w:spacing w:after="0" w:line="240" w:lineRule="auto"/>
        <w:jc w:val="both"/>
        <w:rPr>
          <w:rFonts w:ascii="Times New Roman" w:hAnsi="Times New Roman" w:cs="Times New Roman"/>
          <w:sz w:val="24"/>
          <w:szCs w:val="24"/>
          <w:rtl/>
        </w:rPr>
      </w:pPr>
    </w:p>
    <w:p w:rsidR="00B242A7" w:rsidRPr="003122A3" w:rsidRDefault="00B242A7" w:rsidP="007277B1">
      <w:pPr>
        <w:pStyle w:val="Caption"/>
        <w:bidi w:val="0"/>
        <w:rPr>
          <w:sz w:val="22"/>
          <w:szCs w:val="22"/>
        </w:rPr>
      </w:pPr>
      <w:bookmarkStart w:id="86" w:name="_Toc420268248"/>
      <w:r w:rsidRPr="003122A3">
        <w:rPr>
          <w:sz w:val="22"/>
          <w:szCs w:val="22"/>
        </w:rPr>
        <w:t>Figure</w:t>
      </w:r>
      <w:r w:rsidR="00A95130"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34</w:t>
      </w:r>
      <w:r w:rsidR="008F57C8" w:rsidRPr="003122A3">
        <w:rPr>
          <w:sz w:val="22"/>
          <w:szCs w:val="22"/>
          <w:rtl/>
        </w:rPr>
        <w:fldChar w:fldCharType="end"/>
      </w:r>
      <w:r w:rsidRPr="003122A3">
        <w:rPr>
          <w:sz w:val="22"/>
          <w:szCs w:val="22"/>
        </w:rPr>
        <w:t>: Number of Children in Conflict with the Law by Type of Offense, 2014*</w:t>
      </w:r>
      <w:bookmarkEnd w:id="86"/>
    </w:p>
    <w:p w:rsidR="00DA3160" w:rsidRPr="003122A3" w:rsidRDefault="00DA3160" w:rsidP="007277B1">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488691" cy="1844702"/>
            <wp:effectExtent l="19050" t="0" r="16759" b="3148"/>
            <wp:docPr id="20"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B66768" w:rsidRPr="003122A3" w:rsidRDefault="00572B9E" w:rsidP="00B85436">
      <w:pPr>
        <w:jc w:val="both"/>
        <w:rPr>
          <w:rFonts w:ascii="Times New Roman" w:hAnsi="Times New Roman" w:cs="Times New Roman"/>
          <w:sz w:val="18"/>
          <w:szCs w:val="18"/>
        </w:rPr>
      </w:pPr>
      <w:r w:rsidRPr="003122A3">
        <w:rPr>
          <w:rFonts w:ascii="Times New Roman" w:hAnsi="Times New Roman" w:cs="Times New Roman"/>
          <w:sz w:val="18"/>
          <w:szCs w:val="18"/>
          <w:rtl/>
        </w:rPr>
        <w:t xml:space="preserve">  </w:t>
      </w:r>
      <w:r w:rsidR="007277B1" w:rsidRPr="003122A3">
        <w:rPr>
          <w:rFonts w:ascii="Times New Roman" w:hAnsi="Times New Roman" w:cs="Times New Roman"/>
          <w:sz w:val="18"/>
          <w:szCs w:val="18"/>
        </w:rPr>
        <w:t xml:space="preserve">          </w:t>
      </w:r>
      <w:r w:rsidR="00A77FE6" w:rsidRPr="003122A3">
        <w:rPr>
          <w:rFonts w:ascii="Times New Roman" w:hAnsi="Times New Roman" w:cs="Times New Roman"/>
          <w:sz w:val="18"/>
          <w:szCs w:val="18"/>
        </w:rPr>
        <w:t>* others include substance/ drug use and other offenses</w:t>
      </w:r>
    </w:p>
    <w:p w:rsidR="00A77FE6" w:rsidRPr="003122A3" w:rsidRDefault="00B85436" w:rsidP="00A605E2">
      <w:pPr>
        <w:jc w:val="both"/>
        <w:rPr>
          <w:rFonts w:ascii="Times New Roman" w:hAnsi="Times New Roman" w:cs="Times New Roman"/>
          <w:sz w:val="18"/>
          <w:szCs w:val="18"/>
          <w:rtl/>
        </w:rPr>
      </w:pPr>
      <w:r w:rsidRPr="003122A3">
        <w:rPr>
          <w:rFonts w:ascii="Times New Roman" w:hAnsi="Times New Roman" w:cs="Times New Roman"/>
          <w:sz w:val="18"/>
          <w:szCs w:val="18"/>
        </w:rPr>
        <w:t xml:space="preserve"> </w:t>
      </w:r>
      <w:r w:rsidR="007277B1" w:rsidRPr="003122A3">
        <w:rPr>
          <w:rFonts w:ascii="Times New Roman" w:hAnsi="Times New Roman" w:cs="Times New Roman"/>
          <w:sz w:val="18"/>
          <w:szCs w:val="18"/>
        </w:rPr>
        <w:t xml:space="preserve">          </w:t>
      </w:r>
      <w:r w:rsidRPr="003122A3">
        <w:rPr>
          <w:rFonts w:ascii="Times New Roman" w:hAnsi="Times New Roman" w:cs="Times New Roman"/>
          <w:sz w:val="18"/>
          <w:szCs w:val="18"/>
        </w:rPr>
        <w:t xml:space="preserve">  </w:t>
      </w:r>
      <w:r w:rsidR="00A77FE6" w:rsidRPr="003122A3">
        <w:rPr>
          <w:rFonts w:ascii="Times New Roman" w:hAnsi="Times New Roman" w:cs="Times New Roman"/>
          <w:sz w:val="18"/>
          <w:szCs w:val="18"/>
        </w:rPr>
        <w:t>Source: Ministry of Social Affairs, 2014</w:t>
      </w:r>
    </w:p>
    <w:p w:rsidR="00A77FE6" w:rsidRPr="003122A3" w:rsidRDefault="00A77FE6"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Personnel Certified to Work with Children</w:t>
      </w: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Currently none of the personnel working with children in conflict with the law are licensed or specialized in this field. In Palestine, there is no legislation governing the practice of this profession. There are fourteen counselors who observe, evaluate and monitor young offenders and ensure that they receive services, support and guidance. These observers also accompany juveniles to court during a trial.</w:t>
      </w:r>
    </w:p>
    <w:p w:rsidR="00930C62" w:rsidRPr="003122A3" w:rsidRDefault="00930C62" w:rsidP="00930C62">
      <w:pPr>
        <w:spacing w:after="0" w:line="240" w:lineRule="auto"/>
        <w:jc w:val="both"/>
        <w:rPr>
          <w:rFonts w:ascii="Times New Roman" w:hAnsi="Times New Roman" w:cs="Times New Roman"/>
          <w:sz w:val="24"/>
          <w:szCs w:val="24"/>
        </w:rPr>
      </w:pPr>
    </w:p>
    <w:p w:rsidR="003E4C88" w:rsidRPr="003122A3" w:rsidRDefault="00A77FE6" w:rsidP="008E657F">
      <w:pPr>
        <w:jc w:val="both"/>
        <w:rPr>
          <w:rFonts w:ascii="Times New Roman" w:hAnsi="Times New Roman" w:cs="Times New Roman"/>
          <w:b/>
          <w:bCs/>
          <w:sz w:val="24"/>
          <w:szCs w:val="24"/>
          <w:rtl/>
        </w:rPr>
      </w:pPr>
      <w:bookmarkStart w:id="87" w:name="_Toc420245004"/>
      <w:r w:rsidRPr="003122A3">
        <w:rPr>
          <w:rStyle w:val="Heading2Char"/>
          <w:rFonts w:ascii="Times New Roman" w:hAnsi="Times New Roman" w:cs="Times New Roman"/>
          <w:sz w:val="24"/>
          <w:szCs w:val="24"/>
        </w:rPr>
        <w:t>6.5 Violence, Abuse and Neglect</w:t>
      </w:r>
      <w:bookmarkEnd w:id="87"/>
      <w:r w:rsidR="00F22EFC" w:rsidRPr="00EE39D7">
        <w:rPr>
          <w:rStyle w:val="FootnoteReference"/>
          <w:rFonts w:ascii="Times New Roman" w:hAnsi="Times New Roman" w:cs="Times New Roman"/>
          <w:b/>
          <w:bCs/>
          <w:sz w:val="24"/>
          <w:szCs w:val="24"/>
          <w:rtl/>
        </w:rPr>
        <w:footnoteReference w:id="52"/>
      </w:r>
      <w:r w:rsidR="00BA62F8" w:rsidRPr="003122A3">
        <w:rPr>
          <w:rFonts w:ascii="Times New Roman" w:hAnsi="Times New Roman" w:cs="Times New Roman"/>
          <w:b/>
          <w:bCs/>
          <w:sz w:val="24"/>
          <w:szCs w:val="24"/>
          <w:rtl/>
        </w:rPr>
        <w:t xml:space="preserve"> </w:t>
      </w: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Information on the neglect, emotional or physical abuse or economic exploitation of children is limited to what is reported, but it can be assumed that hundreds of incidents occur which remain unreported.</w:t>
      </w:r>
    </w:p>
    <w:p w:rsidR="00930C62" w:rsidRPr="003122A3" w:rsidRDefault="00930C62" w:rsidP="00930C62">
      <w:pPr>
        <w:spacing w:after="0" w:line="240" w:lineRule="auto"/>
        <w:jc w:val="both"/>
        <w:rPr>
          <w:rFonts w:ascii="Times New Roman" w:hAnsi="Times New Roman" w:cs="Times New Roman"/>
          <w:sz w:val="24"/>
          <w:szCs w:val="24"/>
        </w:rPr>
      </w:pP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rPr>
        <w:t xml:space="preserve">Children with disabilities or who suffer from chronic illnesses are particularly vulnerable to emotional abuse or neglect. </w:t>
      </w:r>
      <w:r w:rsidRPr="003122A3">
        <w:rPr>
          <w:rFonts w:ascii="Times New Roman" w:hAnsi="Times New Roman" w:cs="Times New Roman"/>
          <w:sz w:val="24"/>
          <w:szCs w:val="24"/>
        </w:rPr>
        <w:t>All reported cases are handled to provide protection either within the families or in a shelter home. Most cases are classified as neglect, abuse and economic exploitation; these issues are especially common in urban areas. Around 82% of cases involve the immediate family and 40% of these children are not enrolled in the educational system. Most protection measures are implemented within the family rather than in an institution.</w:t>
      </w:r>
    </w:p>
    <w:p w:rsidR="00930C62" w:rsidRPr="003122A3" w:rsidRDefault="00930C62" w:rsidP="00930C62">
      <w:pPr>
        <w:spacing w:after="0" w:line="240" w:lineRule="auto"/>
        <w:jc w:val="both"/>
        <w:rPr>
          <w:rFonts w:ascii="Times New Roman" w:hAnsi="Times New Roman" w:cs="Times New Roman"/>
          <w:sz w:val="24"/>
          <w:szCs w:val="24"/>
        </w:rPr>
      </w:pP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government and other parties have undertaken a number of initiatives to protect children. A family protection unit has been established within the police force and committees have been formed within the Ministry of Health. A national plan of action for the protection of children is being implemented and child protection networks put in place. In addition, standards are being set for the protection of children in day care centers and schools</w:t>
      </w:r>
    </w:p>
    <w:p w:rsidR="00930C62" w:rsidRPr="003122A3" w:rsidRDefault="00930C62" w:rsidP="00930C62">
      <w:pPr>
        <w:spacing w:after="0" w:line="240" w:lineRule="auto"/>
        <w:jc w:val="both"/>
        <w:rPr>
          <w:rFonts w:ascii="Times New Roman" w:hAnsi="Times New Roman" w:cs="Times New Roman"/>
          <w:sz w:val="24"/>
          <w:szCs w:val="24"/>
        </w:rPr>
      </w:pPr>
    </w:p>
    <w:p w:rsidR="00A77FE6" w:rsidRPr="003122A3" w:rsidRDefault="00A77FE6"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Child Protection Mechanisms in Palestine</w:t>
      </w: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Child protection counselors study and evaluate the circumstances in which children live and evaluate threats in their environment. They draft an intervention plan for protecting the child which engages social, psychological, educational and legal services provided by relevant institutions. The General Administration for Family Affairs employs a corps of fifteen child protection counselors.</w:t>
      </w:r>
    </w:p>
    <w:p w:rsidR="00930C62" w:rsidRPr="003122A3" w:rsidRDefault="00930C62" w:rsidP="00930C62">
      <w:pPr>
        <w:spacing w:after="0" w:line="240" w:lineRule="auto"/>
        <w:jc w:val="both"/>
        <w:rPr>
          <w:rFonts w:ascii="Times New Roman" w:hAnsi="Times New Roman" w:cs="Times New Roman"/>
          <w:sz w:val="24"/>
          <w:szCs w:val="24"/>
        </w:rPr>
      </w:pP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2013 action plan of the Ministry of Social Affairs put eight networks in operation to protect children in </w:t>
      </w:r>
      <w:proofErr w:type="spellStart"/>
      <w:r w:rsidRPr="003122A3">
        <w:rPr>
          <w:rFonts w:ascii="Times New Roman" w:hAnsi="Times New Roman" w:cs="Times New Roman"/>
          <w:sz w:val="24"/>
          <w:szCs w:val="24"/>
        </w:rPr>
        <w:t>Jenin</w:t>
      </w:r>
      <w:proofErr w:type="spellEnd"/>
      <w:r w:rsidRPr="003122A3">
        <w:rPr>
          <w:rFonts w:ascii="Times New Roman" w:hAnsi="Times New Roman" w:cs="Times New Roman"/>
          <w:sz w:val="24"/>
          <w:szCs w:val="24"/>
        </w:rPr>
        <w:t xml:space="preserve">, Nablus, Ramallah, </w:t>
      </w:r>
      <w:proofErr w:type="spellStart"/>
      <w:r w:rsidRPr="003122A3">
        <w:rPr>
          <w:rFonts w:ascii="Times New Roman" w:hAnsi="Times New Roman" w:cs="Times New Roman"/>
          <w:sz w:val="24"/>
          <w:szCs w:val="24"/>
        </w:rPr>
        <w:t>Salfit</w:t>
      </w:r>
      <w:proofErr w:type="spellEnd"/>
      <w:r w:rsidRPr="003122A3">
        <w:rPr>
          <w:rFonts w:ascii="Times New Roman" w:hAnsi="Times New Roman" w:cs="Times New Roman"/>
          <w:sz w:val="24"/>
          <w:szCs w:val="24"/>
        </w:rPr>
        <w:t xml:space="preserve">, Hebron, </w:t>
      </w:r>
      <w:proofErr w:type="spellStart"/>
      <w:r w:rsidRPr="003122A3">
        <w:rPr>
          <w:rFonts w:ascii="Times New Roman" w:hAnsi="Times New Roman" w:cs="Times New Roman"/>
          <w:sz w:val="24"/>
          <w:szCs w:val="24"/>
        </w:rPr>
        <w:t>Qalqilya</w:t>
      </w:r>
      <w:proofErr w:type="spellEnd"/>
      <w:r w:rsidRPr="003122A3">
        <w:rPr>
          <w:rFonts w:ascii="Times New Roman" w:hAnsi="Times New Roman" w:cs="Times New Roman"/>
          <w:sz w:val="24"/>
          <w:szCs w:val="24"/>
        </w:rPr>
        <w:t xml:space="preserve">, Bethlehem and Jericho. The Ministry plans to create a national network to organize and integrate services and official strategies for the protection and care of children exposed to violence in all its forms and ensure optimal use of the available services by all partners and the local community in the child's best interests. Protection and care for children will be achieved through building a referral system and the provision of networking and supervision by the Ministry of Social Affairs. The Ministry plans to establish four additional protection networks for children in Jerusalem, </w:t>
      </w:r>
      <w:proofErr w:type="spellStart"/>
      <w:r w:rsidRPr="003122A3">
        <w:rPr>
          <w:rFonts w:ascii="Times New Roman" w:hAnsi="Times New Roman" w:cs="Times New Roman"/>
          <w:sz w:val="24"/>
          <w:szCs w:val="24"/>
        </w:rPr>
        <w:t>Tulkarm</w:t>
      </w:r>
      <w:proofErr w:type="spellEnd"/>
      <w:r w:rsidRPr="003122A3">
        <w:rPr>
          <w:rFonts w:ascii="Times New Roman" w:hAnsi="Times New Roman" w:cs="Times New Roman"/>
          <w:sz w:val="24"/>
          <w:szCs w:val="24"/>
        </w:rPr>
        <w:t xml:space="preserve">, Tubas and </w:t>
      </w:r>
      <w:proofErr w:type="spellStart"/>
      <w:r w:rsidRPr="003122A3">
        <w:rPr>
          <w:rFonts w:ascii="Times New Roman" w:hAnsi="Times New Roman" w:cs="Times New Roman"/>
          <w:sz w:val="24"/>
          <w:szCs w:val="24"/>
        </w:rPr>
        <w:t>Yatta</w:t>
      </w:r>
      <w:proofErr w:type="spellEnd"/>
      <w:r w:rsidRPr="003122A3">
        <w:rPr>
          <w:rFonts w:ascii="Times New Roman" w:hAnsi="Times New Roman" w:cs="Times New Roman"/>
          <w:sz w:val="24"/>
          <w:szCs w:val="24"/>
        </w:rPr>
        <w:t>. Subsequently, all governorates will be served by such networks and the national referral and monitoring system will be develop to comply with the Palestinian Child Law, as amended.</w:t>
      </w:r>
    </w:p>
    <w:p w:rsidR="00930C62" w:rsidRPr="003122A3" w:rsidRDefault="00930C62" w:rsidP="00930C62">
      <w:pPr>
        <w:spacing w:after="0" w:line="240" w:lineRule="auto"/>
        <w:jc w:val="both"/>
        <w:rPr>
          <w:rFonts w:ascii="Times New Roman" w:hAnsi="Times New Roman" w:cs="Times New Roman"/>
          <w:sz w:val="24"/>
          <w:szCs w:val="24"/>
        </w:rPr>
      </w:pPr>
    </w:p>
    <w:p w:rsidR="00930C62" w:rsidRDefault="00930C62" w:rsidP="008E657F">
      <w:pPr>
        <w:jc w:val="both"/>
        <w:rPr>
          <w:rFonts w:ascii="Times New Roman" w:hAnsi="Times New Roman" w:cs="Times New Roman"/>
          <w:b/>
          <w:bCs/>
          <w:sz w:val="24"/>
          <w:szCs w:val="24"/>
        </w:rPr>
      </w:pPr>
    </w:p>
    <w:p w:rsidR="00930C62" w:rsidRDefault="00930C62" w:rsidP="008E657F">
      <w:pPr>
        <w:jc w:val="both"/>
        <w:rPr>
          <w:rFonts w:ascii="Times New Roman" w:hAnsi="Times New Roman" w:cs="Times New Roman"/>
          <w:b/>
          <w:bCs/>
          <w:sz w:val="24"/>
          <w:szCs w:val="24"/>
        </w:rPr>
      </w:pPr>
    </w:p>
    <w:p w:rsidR="00A77FE6" w:rsidRPr="003122A3" w:rsidRDefault="00A77FE6"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Child Protection Centers</w:t>
      </w:r>
    </w:p>
    <w:p w:rsidR="00A77FE6" w:rsidRPr="003122A3"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Ministry of Social Affairs operates two safe houses for children: </w:t>
      </w:r>
    </w:p>
    <w:p w:rsidR="00A77FE6" w:rsidRPr="00341096" w:rsidRDefault="00A77FE6" w:rsidP="00341096">
      <w:pPr>
        <w:pStyle w:val="ListParagraph"/>
        <w:numPr>
          <w:ilvl w:val="0"/>
          <w:numId w:val="12"/>
        </w:numPr>
        <w:spacing w:after="0" w:line="240" w:lineRule="auto"/>
        <w:jc w:val="both"/>
        <w:rPr>
          <w:rFonts w:ascii="Times New Roman" w:hAnsi="Times New Roman" w:cs="Times New Roman"/>
          <w:b/>
          <w:bCs/>
          <w:sz w:val="24"/>
          <w:szCs w:val="24"/>
        </w:rPr>
      </w:pPr>
      <w:r w:rsidRPr="00341096">
        <w:rPr>
          <w:rFonts w:ascii="Times New Roman" w:hAnsi="Times New Roman" w:cs="Times New Roman"/>
          <w:sz w:val="24"/>
          <w:szCs w:val="24"/>
        </w:rPr>
        <w:t xml:space="preserve">A center in </w:t>
      </w:r>
      <w:proofErr w:type="spellStart"/>
      <w:r w:rsidRPr="00341096">
        <w:rPr>
          <w:rFonts w:ascii="Times New Roman" w:hAnsi="Times New Roman" w:cs="Times New Roman"/>
          <w:sz w:val="24"/>
          <w:szCs w:val="24"/>
        </w:rPr>
        <w:t>Beitunia</w:t>
      </w:r>
      <w:proofErr w:type="spellEnd"/>
      <w:r w:rsidRPr="00341096">
        <w:rPr>
          <w:rFonts w:ascii="Times New Roman" w:hAnsi="Times New Roman" w:cs="Times New Roman"/>
          <w:sz w:val="24"/>
          <w:szCs w:val="24"/>
        </w:rPr>
        <w:t xml:space="preserve"> serves boys aged 5-18 who are referred by child protection counselors or the  police and who require emergency and temporary protection. In 2014 the center received 61 children and had five employees. </w:t>
      </w:r>
    </w:p>
    <w:p w:rsidR="00A77FE6" w:rsidRPr="00341096" w:rsidRDefault="00A77FE6" w:rsidP="00341096">
      <w:pPr>
        <w:pStyle w:val="ListParagraph"/>
        <w:numPr>
          <w:ilvl w:val="0"/>
          <w:numId w:val="12"/>
        </w:numPr>
        <w:spacing w:after="0" w:line="240" w:lineRule="auto"/>
        <w:jc w:val="both"/>
        <w:rPr>
          <w:rFonts w:ascii="Times New Roman" w:hAnsi="Times New Roman" w:cs="Times New Roman"/>
          <w:sz w:val="24"/>
          <w:szCs w:val="24"/>
        </w:rPr>
      </w:pPr>
      <w:r w:rsidRPr="00341096">
        <w:rPr>
          <w:rFonts w:ascii="Times New Roman" w:hAnsi="Times New Roman" w:cs="Times New Roman"/>
          <w:sz w:val="24"/>
          <w:szCs w:val="24"/>
        </w:rPr>
        <w:t>A center in Bethlehem serves girls referred by child protection counselors or the police. In 2014, the center received 36 girls and had eleven employees.</w:t>
      </w:r>
    </w:p>
    <w:p w:rsidR="00930C62" w:rsidRPr="003122A3" w:rsidRDefault="00930C62" w:rsidP="00930C62">
      <w:pPr>
        <w:spacing w:after="0" w:line="240" w:lineRule="auto"/>
        <w:jc w:val="both"/>
        <w:rPr>
          <w:rFonts w:ascii="Times New Roman" w:hAnsi="Times New Roman" w:cs="Times New Roman"/>
          <w:b/>
          <w:bCs/>
          <w:sz w:val="24"/>
          <w:szCs w:val="24"/>
        </w:rPr>
      </w:pPr>
    </w:p>
    <w:p w:rsidR="00A77FE6" w:rsidRDefault="00A77FE6" w:rsidP="00930C62">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1000 children who lost one of their parents live away from the living parent; they are mostly children who lost their mothers. This is an indication </w:t>
      </w:r>
      <w:proofErr w:type="spellStart"/>
      <w:r w:rsidRPr="003122A3">
        <w:rPr>
          <w:rFonts w:ascii="Times New Roman" w:hAnsi="Times New Roman" w:cs="Times New Roman"/>
          <w:sz w:val="24"/>
          <w:szCs w:val="24"/>
        </w:rPr>
        <w:t>fo</w:t>
      </w:r>
      <w:proofErr w:type="spellEnd"/>
      <w:r w:rsidRPr="003122A3">
        <w:rPr>
          <w:rFonts w:ascii="Times New Roman" w:hAnsi="Times New Roman" w:cs="Times New Roman"/>
          <w:sz w:val="24"/>
          <w:szCs w:val="24"/>
        </w:rPr>
        <w:t xml:space="preserve"> the importance of the role of the mother in the family. An alarming sign is that some families place their children in orphanage because they cannot support them financially. Assistance is provided to orphan children by </w:t>
      </w:r>
      <w:proofErr w:type="spellStart"/>
      <w:r w:rsidRPr="003122A3">
        <w:rPr>
          <w:rFonts w:ascii="Times New Roman" w:hAnsi="Times New Roman" w:cs="Times New Roman"/>
          <w:sz w:val="24"/>
          <w:szCs w:val="24"/>
        </w:rPr>
        <w:t>theMinistry</w:t>
      </w:r>
      <w:proofErr w:type="spellEnd"/>
      <w:r w:rsidRPr="003122A3">
        <w:rPr>
          <w:rFonts w:ascii="Times New Roman" w:hAnsi="Times New Roman" w:cs="Times New Roman"/>
          <w:sz w:val="24"/>
          <w:szCs w:val="24"/>
        </w:rPr>
        <w:t xml:space="preserve"> of Social Affairs. The number of orphan children forms received until 31 December 2014 was as follows:</w:t>
      </w:r>
    </w:p>
    <w:p w:rsidR="00930C62" w:rsidRDefault="00930C62" w:rsidP="00930C62">
      <w:pPr>
        <w:spacing w:after="0" w:line="240" w:lineRule="auto"/>
        <w:jc w:val="both"/>
        <w:rPr>
          <w:rFonts w:ascii="Times New Roman" w:hAnsi="Times New Roman" w:cs="Times New Roman"/>
          <w:sz w:val="24"/>
          <w:szCs w:val="24"/>
        </w:rPr>
      </w:pPr>
    </w:p>
    <w:p w:rsidR="00E964D6" w:rsidRPr="003E4B7D" w:rsidRDefault="00E964D6" w:rsidP="007277B1">
      <w:pPr>
        <w:pStyle w:val="Caption"/>
        <w:keepNext/>
        <w:bidi w:val="0"/>
        <w:rPr>
          <w:sz w:val="22"/>
          <w:szCs w:val="22"/>
        </w:rPr>
      </w:pPr>
      <w:bookmarkStart w:id="88" w:name="_Toc420269305"/>
      <w:r w:rsidRPr="003E4B7D">
        <w:rPr>
          <w:sz w:val="22"/>
          <w:szCs w:val="22"/>
        </w:rPr>
        <w:t>Table</w:t>
      </w:r>
      <w:r w:rsidR="00A95130" w:rsidRPr="003E4B7D">
        <w:rPr>
          <w:sz w:val="22"/>
          <w:szCs w:val="22"/>
        </w:rPr>
        <w:t xml:space="preserve"> </w:t>
      </w:r>
      <w:r w:rsidRPr="003E4B7D">
        <w:rPr>
          <w:sz w:val="22"/>
          <w:szCs w:val="22"/>
          <w:rtl/>
        </w:rPr>
        <w:t xml:space="preserve"> </w:t>
      </w:r>
      <w:r w:rsidR="008F57C8" w:rsidRPr="003E4B7D">
        <w:rPr>
          <w:sz w:val="22"/>
          <w:szCs w:val="22"/>
          <w:rtl/>
        </w:rPr>
        <w:fldChar w:fldCharType="begin"/>
      </w:r>
      <w:r w:rsidRPr="003E4B7D">
        <w:rPr>
          <w:sz w:val="22"/>
          <w:szCs w:val="22"/>
          <w:rtl/>
        </w:rPr>
        <w:instrText xml:space="preserve"> </w:instrText>
      </w:r>
      <w:r w:rsidRPr="003E4B7D">
        <w:rPr>
          <w:sz w:val="22"/>
          <w:szCs w:val="22"/>
        </w:rPr>
        <w:instrText>SEQ</w:instrText>
      </w:r>
      <w:r w:rsidRPr="003E4B7D">
        <w:rPr>
          <w:sz w:val="22"/>
          <w:szCs w:val="22"/>
          <w:rtl/>
        </w:rPr>
        <w:instrText xml:space="preserve"> </w:instrText>
      </w:r>
      <w:r w:rsidRPr="003E4B7D">
        <w:rPr>
          <w:sz w:val="22"/>
          <w:szCs w:val="22"/>
        </w:rPr>
        <w:instrText>Table \* ARABIC</w:instrText>
      </w:r>
      <w:r w:rsidRPr="003E4B7D">
        <w:rPr>
          <w:sz w:val="22"/>
          <w:szCs w:val="22"/>
          <w:rtl/>
        </w:rPr>
        <w:instrText xml:space="preserve"> </w:instrText>
      </w:r>
      <w:r w:rsidR="008F57C8" w:rsidRPr="003E4B7D">
        <w:rPr>
          <w:sz w:val="22"/>
          <w:szCs w:val="22"/>
          <w:rtl/>
        </w:rPr>
        <w:fldChar w:fldCharType="separate"/>
      </w:r>
      <w:r w:rsidR="001626F1">
        <w:rPr>
          <w:sz w:val="22"/>
          <w:szCs w:val="22"/>
          <w:rtl/>
        </w:rPr>
        <w:t>7</w:t>
      </w:r>
      <w:r w:rsidR="008F57C8" w:rsidRPr="003E4B7D">
        <w:rPr>
          <w:sz w:val="22"/>
          <w:szCs w:val="22"/>
          <w:rtl/>
        </w:rPr>
        <w:fldChar w:fldCharType="end"/>
      </w:r>
      <w:r w:rsidRPr="003E4B7D">
        <w:rPr>
          <w:sz w:val="22"/>
          <w:szCs w:val="22"/>
        </w:rPr>
        <w:t>: Number of Orphans Registered with the Ministry of Social Affairs, 2014</w:t>
      </w:r>
      <w:bookmarkEnd w:id="88"/>
    </w:p>
    <w:tbl>
      <w:tblPr>
        <w:tblStyle w:val="LightShading-Accent11"/>
        <w:tblW w:w="10107" w:type="dxa"/>
        <w:jc w:val="center"/>
        <w:tblLook w:val="04A0"/>
      </w:tblPr>
      <w:tblGrid>
        <w:gridCol w:w="1865"/>
        <w:gridCol w:w="1374"/>
        <w:gridCol w:w="1371"/>
        <w:gridCol w:w="1372"/>
        <w:gridCol w:w="1372"/>
        <w:gridCol w:w="1372"/>
        <w:gridCol w:w="1381"/>
      </w:tblGrid>
      <w:tr w:rsidR="00B10317" w:rsidRPr="003122A3" w:rsidTr="003F7BF6">
        <w:trPr>
          <w:cnfStyle w:val="100000000000"/>
          <w:jc w:val="center"/>
        </w:trPr>
        <w:tc>
          <w:tcPr>
            <w:cnfStyle w:val="001000000000"/>
            <w:tcW w:w="1865" w:type="dxa"/>
            <w:tcBorders>
              <w:top w:val="single" w:sz="4" w:space="0" w:color="auto"/>
              <w:left w:val="single" w:sz="4" w:space="0" w:color="auto"/>
              <w:bottom w:val="single" w:sz="4" w:space="0" w:color="auto"/>
              <w:right w:val="single" w:sz="4" w:space="0" w:color="auto"/>
            </w:tcBorders>
          </w:tcPr>
          <w:p w:rsidR="00A77FE6" w:rsidRPr="003122A3" w:rsidRDefault="00A77FE6" w:rsidP="007277B1">
            <w:pPr>
              <w:spacing w:line="276" w:lineRule="auto"/>
              <w:jc w:val="both"/>
              <w:rPr>
                <w:rFonts w:ascii="Times New Roman" w:hAnsi="Times New Roman"/>
                <w:b w:val="0"/>
                <w:bCs w:val="0"/>
                <w:color w:val="auto"/>
                <w:sz w:val="20"/>
                <w:szCs w:val="20"/>
              </w:rPr>
            </w:pPr>
          </w:p>
        </w:tc>
        <w:tc>
          <w:tcPr>
            <w:tcW w:w="1374" w:type="dxa"/>
            <w:tcBorders>
              <w:top w:val="single" w:sz="4" w:space="0" w:color="auto"/>
              <w:left w:val="single" w:sz="4" w:space="0" w:color="auto"/>
              <w:bottom w:val="single" w:sz="4" w:space="0" w:color="auto"/>
              <w:right w:val="single" w:sz="4" w:space="0" w:color="auto"/>
            </w:tcBorders>
          </w:tcPr>
          <w:p w:rsidR="00A77FE6" w:rsidRPr="003122A3" w:rsidRDefault="00A77FE6" w:rsidP="003F7BF6">
            <w:pPr>
              <w:spacing w:line="276"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Both parents de</w:t>
            </w:r>
            <w:r w:rsidR="00B10317" w:rsidRPr="003122A3">
              <w:rPr>
                <w:rFonts w:ascii="Times New Roman" w:hAnsi="Times New Roman"/>
                <w:color w:val="auto"/>
                <w:sz w:val="20"/>
                <w:szCs w:val="20"/>
              </w:rPr>
              <w:t>cease</w:t>
            </w:r>
            <w:r w:rsidRPr="003122A3">
              <w:rPr>
                <w:rFonts w:ascii="Times New Roman" w:hAnsi="Times New Roman"/>
                <w:color w:val="auto"/>
                <w:sz w:val="20"/>
                <w:szCs w:val="20"/>
              </w:rPr>
              <w:t>d</w:t>
            </w:r>
          </w:p>
        </w:tc>
        <w:tc>
          <w:tcPr>
            <w:tcW w:w="1371" w:type="dxa"/>
            <w:tcBorders>
              <w:top w:val="single" w:sz="4" w:space="0" w:color="auto"/>
              <w:left w:val="single" w:sz="4" w:space="0" w:color="auto"/>
              <w:bottom w:val="single" w:sz="4" w:space="0" w:color="auto"/>
              <w:right w:val="single" w:sz="4" w:space="0" w:color="auto"/>
            </w:tcBorders>
          </w:tcPr>
          <w:p w:rsidR="00A77FE6" w:rsidRPr="003122A3" w:rsidRDefault="00B10317" w:rsidP="003F7BF6">
            <w:pPr>
              <w:spacing w:line="276"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Only Father alive and living in the same dwelling</w:t>
            </w:r>
          </w:p>
        </w:tc>
        <w:tc>
          <w:tcPr>
            <w:tcW w:w="1372" w:type="dxa"/>
            <w:tcBorders>
              <w:top w:val="single" w:sz="4" w:space="0" w:color="auto"/>
              <w:left w:val="single" w:sz="4" w:space="0" w:color="auto"/>
              <w:bottom w:val="single" w:sz="4" w:space="0" w:color="auto"/>
              <w:right w:val="single" w:sz="4" w:space="0" w:color="auto"/>
            </w:tcBorders>
          </w:tcPr>
          <w:p w:rsidR="00A77FE6" w:rsidRPr="003122A3" w:rsidRDefault="00B10317" w:rsidP="003F7BF6">
            <w:pPr>
              <w:spacing w:line="276"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Only father alive and not living in the same dwelling</w:t>
            </w:r>
          </w:p>
        </w:tc>
        <w:tc>
          <w:tcPr>
            <w:tcW w:w="1372" w:type="dxa"/>
            <w:tcBorders>
              <w:top w:val="single" w:sz="4" w:space="0" w:color="auto"/>
              <w:left w:val="single" w:sz="4" w:space="0" w:color="auto"/>
              <w:bottom w:val="single" w:sz="4" w:space="0" w:color="auto"/>
              <w:right w:val="single" w:sz="4" w:space="0" w:color="auto"/>
            </w:tcBorders>
          </w:tcPr>
          <w:p w:rsidR="00A77FE6" w:rsidRPr="003122A3" w:rsidRDefault="00B10317" w:rsidP="003F7BF6">
            <w:pPr>
              <w:spacing w:line="276"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Only Mother alive and living in the same dwelling</w:t>
            </w:r>
          </w:p>
        </w:tc>
        <w:tc>
          <w:tcPr>
            <w:tcW w:w="1372" w:type="dxa"/>
            <w:tcBorders>
              <w:top w:val="single" w:sz="4" w:space="0" w:color="auto"/>
              <w:left w:val="single" w:sz="4" w:space="0" w:color="auto"/>
              <w:bottom w:val="single" w:sz="4" w:space="0" w:color="auto"/>
              <w:right w:val="single" w:sz="4" w:space="0" w:color="auto"/>
            </w:tcBorders>
          </w:tcPr>
          <w:p w:rsidR="00A77FE6" w:rsidRPr="003122A3" w:rsidRDefault="00B10317" w:rsidP="003F7BF6">
            <w:pPr>
              <w:spacing w:line="276"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Only Mother alive and not living in the same dwelling</w:t>
            </w:r>
          </w:p>
        </w:tc>
        <w:tc>
          <w:tcPr>
            <w:tcW w:w="1381" w:type="dxa"/>
            <w:tcBorders>
              <w:top w:val="single" w:sz="4" w:space="0" w:color="auto"/>
              <w:left w:val="single" w:sz="4" w:space="0" w:color="auto"/>
              <w:bottom w:val="single" w:sz="4" w:space="0" w:color="auto"/>
              <w:right w:val="single" w:sz="4" w:space="0" w:color="auto"/>
            </w:tcBorders>
          </w:tcPr>
          <w:p w:rsidR="00A77FE6" w:rsidRPr="003122A3" w:rsidRDefault="00B10317" w:rsidP="003F7BF6">
            <w:pPr>
              <w:spacing w:line="276"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Not Specified/ known</w:t>
            </w:r>
          </w:p>
        </w:tc>
      </w:tr>
      <w:tr w:rsidR="00B10317" w:rsidRPr="003122A3" w:rsidTr="003F7BF6">
        <w:trPr>
          <w:cnfStyle w:val="000000100000"/>
          <w:jc w:val="center"/>
        </w:trPr>
        <w:tc>
          <w:tcPr>
            <w:cnfStyle w:val="001000000000"/>
            <w:tcW w:w="1865" w:type="dxa"/>
            <w:tcBorders>
              <w:top w:val="single" w:sz="4" w:space="0" w:color="auto"/>
              <w:left w:val="single" w:sz="4" w:space="0" w:color="auto"/>
              <w:bottom w:val="nil"/>
              <w:right w:val="single" w:sz="4" w:space="0" w:color="auto"/>
            </w:tcBorders>
          </w:tcPr>
          <w:p w:rsidR="00A77FE6" w:rsidRPr="003122A3" w:rsidRDefault="00A77FE6" w:rsidP="007277B1">
            <w:pPr>
              <w:spacing w:line="276" w:lineRule="auto"/>
              <w:jc w:val="both"/>
              <w:rPr>
                <w:rFonts w:ascii="Times New Roman" w:hAnsi="Times New Roman"/>
                <w:color w:val="auto"/>
                <w:sz w:val="20"/>
                <w:szCs w:val="20"/>
              </w:rPr>
            </w:pPr>
            <w:r w:rsidRPr="003122A3">
              <w:rPr>
                <w:rFonts w:ascii="Times New Roman" w:hAnsi="Times New Roman"/>
                <w:color w:val="auto"/>
                <w:sz w:val="20"/>
                <w:szCs w:val="20"/>
              </w:rPr>
              <w:t>Total registered</w:t>
            </w:r>
          </w:p>
        </w:tc>
        <w:tc>
          <w:tcPr>
            <w:tcW w:w="1374" w:type="dxa"/>
            <w:tcBorders>
              <w:top w:val="single" w:sz="4" w:space="0" w:color="auto"/>
              <w:left w:val="single" w:sz="4" w:space="0" w:color="auto"/>
            </w:tcBorders>
          </w:tcPr>
          <w:p w:rsidR="00A77FE6" w:rsidRPr="003122A3" w:rsidRDefault="00A77FE6" w:rsidP="007277B1">
            <w:pPr>
              <w:spacing w:line="276" w:lineRule="auto"/>
              <w:jc w:val="center"/>
              <w:cnfStyle w:val="000000100000"/>
              <w:rPr>
                <w:rFonts w:ascii="Times New Roman" w:hAnsi="Times New Roman"/>
                <w:b/>
                <w:bCs/>
                <w:color w:val="auto"/>
                <w:sz w:val="20"/>
                <w:szCs w:val="20"/>
              </w:rPr>
            </w:pPr>
            <w:r w:rsidRPr="003122A3">
              <w:rPr>
                <w:rFonts w:ascii="Times New Roman" w:hAnsi="Times New Roman"/>
                <w:b/>
                <w:bCs/>
                <w:color w:val="auto"/>
                <w:sz w:val="20"/>
                <w:szCs w:val="20"/>
              </w:rPr>
              <w:t>356</w:t>
            </w:r>
          </w:p>
        </w:tc>
        <w:tc>
          <w:tcPr>
            <w:tcW w:w="1371" w:type="dxa"/>
            <w:tcBorders>
              <w:top w:val="single" w:sz="4" w:space="0" w:color="auto"/>
            </w:tcBorders>
          </w:tcPr>
          <w:p w:rsidR="00A77FE6" w:rsidRPr="003122A3" w:rsidRDefault="00A77FE6" w:rsidP="007277B1">
            <w:pPr>
              <w:spacing w:line="276" w:lineRule="auto"/>
              <w:jc w:val="center"/>
              <w:cnfStyle w:val="000000100000"/>
              <w:rPr>
                <w:rFonts w:ascii="Times New Roman" w:hAnsi="Times New Roman"/>
                <w:b/>
                <w:bCs/>
                <w:color w:val="auto"/>
                <w:sz w:val="20"/>
                <w:szCs w:val="20"/>
              </w:rPr>
            </w:pPr>
            <w:r w:rsidRPr="003122A3">
              <w:rPr>
                <w:rFonts w:ascii="Times New Roman" w:hAnsi="Times New Roman"/>
                <w:b/>
                <w:bCs/>
                <w:color w:val="auto"/>
                <w:sz w:val="20"/>
                <w:szCs w:val="20"/>
              </w:rPr>
              <w:t>1411</w:t>
            </w:r>
          </w:p>
        </w:tc>
        <w:tc>
          <w:tcPr>
            <w:tcW w:w="1372" w:type="dxa"/>
            <w:tcBorders>
              <w:top w:val="single" w:sz="4" w:space="0" w:color="auto"/>
            </w:tcBorders>
          </w:tcPr>
          <w:p w:rsidR="00A77FE6" w:rsidRPr="003122A3" w:rsidRDefault="00A77FE6" w:rsidP="007277B1">
            <w:pPr>
              <w:spacing w:line="276" w:lineRule="auto"/>
              <w:jc w:val="center"/>
              <w:cnfStyle w:val="000000100000"/>
              <w:rPr>
                <w:rFonts w:ascii="Times New Roman" w:hAnsi="Times New Roman"/>
                <w:b/>
                <w:bCs/>
                <w:color w:val="auto"/>
                <w:sz w:val="20"/>
                <w:szCs w:val="20"/>
              </w:rPr>
            </w:pPr>
            <w:r w:rsidRPr="003122A3">
              <w:rPr>
                <w:rFonts w:ascii="Times New Roman" w:hAnsi="Times New Roman"/>
                <w:b/>
                <w:bCs/>
                <w:color w:val="auto"/>
                <w:sz w:val="20"/>
                <w:szCs w:val="20"/>
              </w:rPr>
              <w:t>258</w:t>
            </w:r>
          </w:p>
        </w:tc>
        <w:tc>
          <w:tcPr>
            <w:tcW w:w="1372" w:type="dxa"/>
            <w:tcBorders>
              <w:top w:val="single" w:sz="4" w:space="0" w:color="auto"/>
            </w:tcBorders>
          </w:tcPr>
          <w:p w:rsidR="00A77FE6" w:rsidRPr="003122A3" w:rsidRDefault="00A77FE6" w:rsidP="007277B1">
            <w:pPr>
              <w:spacing w:line="276" w:lineRule="auto"/>
              <w:jc w:val="center"/>
              <w:cnfStyle w:val="000000100000"/>
              <w:rPr>
                <w:rFonts w:ascii="Times New Roman" w:hAnsi="Times New Roman"/>
                <w:b/>
                <w:bCs/>
                <w:color w:val="auto"/>
                <w:sz w:val="20"/>
                <w:szCs w:val="20"/>
              </w:rPr>
            </w:pPr>
            <w:r w:rsidRPr="003122A3">
              <w:rPr>
                <w:rFonts w:ascii="Times New Roman" w:hAnsi="Times New Roman"/>
                <w:b/>
                <w:bCs/>
                <w:color w:val="auto"/>
                <w:sz w:val="20"/>
                <w:szCs w:val="20"/>
              </w:rPr>
              <w:t>15752</w:t>
            </w:r>
          </w:p>
        </w:tc>
        <w:tc>
          <w:tcPr>
            <w:tcW w:w="1372" w:type="dxa"/>
            <w:tcBorders>
              <w:top w:val="single" w:sz="4" w:space="0" w:color="auto"/>
            </w:tcBorders>
          </w:tcPr>
          <w:p w:rsidR="00A77FE6" w:rsidRPr="003122A3" w:rsidRDefault="00A77FE6" w:rsidP="007277B1">
            <w:pPr>
              <w:spacing w:line="276" w:lineRule="auto"/>
              <w:jc w:val="center"/>
              <w:cnfStyle w:val="000000100000"/>
              <w:rPr>
                <w:rFonts w:ascii="Times New Roman" w:hAnsi="Times New Roman"/>
                <w:b/>
                <w:bCs/>
                <w:color w:val="auto"/>
                <w:sz w:val="20"/>
                <w:szCs w:val="20"/>
              </w:rPr>
            </w:pPr>
            <w:r w:rsidRPr="003122A3">
              <w:rPr>
                <w:rFonts w:ascii="Times New Roman" w:hAnsi="Times New Roman"/>
                <w:b/>
                <w:bCs/>
                <w:color w:val="auto"/>
                <w:sz w:val="20"/>
                <w:szCs w:val="20"/>
              </w:rPr>
              <w:t>702</w:t>
            </w:r>
          </w:p>
        </w:tc>
        <w:tc>
          <w:tcPr>
            <w:tcW w:w="1381" w:type="dxa"/>
            <w:tcBorders>
              <w:top w:val="single" w:sz="4" w:space="0" w:color="auto"/>
              <w:right w:val="single" w:sz="4" w:space="0" w:color="auto"/>
            </w:tcBorders>
          </w:tcPr>
          <w:p w:rsidR="00A77FE6" w:rsidRPr="003122A3" w:rsidRDefault="00A77FE6" w:rsidP="007277B1">
            <w:pPr>
              <w:spacing w:line="276" w:lineRule="auto"/>
              <w:jc w:val="center"/>
              <w:cnfStyle w:val="000000100000"/>
              <w:rPr>
                <w:rFonts w:ascii="Times New Roman" w:hAnsi="Times New Roman"/>
                <w:b/>
                <w:bCs/>
                <w:color w:val="auto"/>
                <w:sz w:val="20"/>
                <w:szCs w:val="20"/>
              </w:rPr>
            </w:pPr>
            <w:r w:rsidRPr="003122A3">
              <w:rPr>
                <w:rFonts w:ascii="Times New Roman" w:hAnsi="Times New Roman"/>
                <w:b/>
                <w:bCs/>
                <w:color w:val="auto"/>
                <w:sz w:val="20"/>
                <w:szCs w:val="20"/>
              </w:rPr>
              <w:t>270</w:t>
            </w:r>
          </w:p>
        </w:tc>
      </w:tr>
      <w:tr w:rsidR="00B10317" w:rsidRPr="003122A3" w:rsidTr="003F7BF6">
        <w:trPr>
          <w:jc w:val="center"/>
        </w:trPr>
        <w:tc>
          <w:tcPr>
            <w:cnfStyle w:val="001000000000"/>
            <w:tcW w:w="1865" w:type="dxa"/>
            <w:tcBorders>
              <w:top w:val="nil"/>
              <w:left w:val="single" w:sz="4" w:space="0" w:color="auto"/>
              <w:bottom w:val="nil"/>
              <w:right w:val="single" w:sz="4" w:space="0" w:color="auto"/>
            </w:tcBorders>
          </w:tcPr>
          <w:p w:rsidR="00A77FE6" w:rsidRPr="005E1A78" w:rsidRDefault="00B10317" w:rsidP="007277B1">
            <w:pPr>
              <w:spacing w:line="276" w:lineRule="auto"/>
              <w:rPr>
                <w:rFonts w:ascii="Times New Roman" w:hAnsi="Times New Roman"/>
                <w:b w:val="0"/>
                <w:bCs w:val="0"/>
                <w:color w:val="auto"/>
                <w:sz w:val="20"/>
                <w:szCs w:val="20"/>
              </w:rPr>
            </w:pPr>
            <w:r w:rsidRPr="005E1A78">
              <w:rPr>
                <w:rFonts w:ascii="Times New Roman" w:hAnsi="Times New Roman"/>
                <w:b w:val="0"/>
                <w:bCs w:val="0"/>
                <w:color w:val="auto"/>
                <w:sz w:val="20"/>
                <w:szCs w:val="20"/>
              </w:rPr>
              <w:t xml:space="preserve">Of which </w:t>
            </w:r>
            <w:r w:rsidR="00A77FE6" w:rsidRPr="005E1A78">
              <w:rPr>
                <w:rFonts w:ascii="Times New Roman" w:hAnsi="Times New Roman"/>
                <w:b w:val="0"/>
                <w:bCs w:val="0"/>
                <w:color w:val="auto"/>
                <w:sz w:val="20"/>
                <w:szCs w:val="20"/>
              </w:rPr>
              <w:t>Beneficiaries</w:t>
            </w:r>
          </w:p>
        </w:tc>
        <w:tc>
          <w:tcPr>
            <w:tcW w:w="1374" w:type="dxa"/>
            <w:tcBorders>
              <w:left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281</w:t>
            </w:r>
          </w:p>
        </w:tc>
        <w:tc>
          <w:tcPr>
            <w:tcW w:w="1371" w:type="dxa"/>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1096</w:t>
            </w:r>
          </w:p>
        </w:tc>
        <w:tc>
          <w:tcPr>
            <w:tcW w:w="1372" w:type="dxa"/>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176</w:t>
            </w:r>
          </w:p>
        </w:tc>
        <w:tc>
          <w:tcPr>
            <w:tcW w:w="1372" w:type="dxa"/>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10521</w:t>
            </w:r>
          </w:p>
        </w:tc>
        <w:tc>
          <w:tcPr>
            <w:tcW w:w="1372" w:type="dxa"/>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515</w:t>
            </w:r>
          </w:p>
        </w:tc>
        <w:tc>
          <w:tcPr>
            <w:tcW w:w="1381" w:type="dxa"/>
            <w:tcBorders>
              <w:right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213</w:t>
            </w:r>
          </w:p>
        </w:tc>
      </w:tr>
      <w:tr w:rsidR="00B10317" w:rsidRPr="003122A3" w:rsidTr="003F7BF6">
        <w:trPr>
          <w:cnfStyle w:val="000000100000"/>
          <w:jc w:val="center"/>
        </w:trPr>
        <w:tc>
          <w:tcPr>
            <w:cnfStyle w:val="001000000000"/>
            <w:tcW w:w="1865" w:type="dxa"/>
            <w:tcBorders>
              <w:top w:val="nil"/>
              <w:left w:val="single" w:sz="4" w:space="0" w:color="auto"/>
              <w:bottom w:val="nil"/>
              <w:right w:val="single" w:sz="4" w:space="0" w:color="auto"/>
            </w:tcBorders>
          </w:tcPr>
          <w:p w:rsidR="00A77FE6" w:rsidRPr="005E1A78" w:rsidRDefault="00A77FE6" w:rsidP="007277B1">
            <w:pPr>
              <w:spacing w:line="276" w:lineRule="auto"/>
              <w:rPr>
                <w:rFonts w:ascii="Times New Roman" w:hAnsi="Times New Roman"/>
                <w:b w:val="0"/>
                <w:bCs w:val="0"/>
                <w:color w:val="auto"/>
                <w:sz w:val="20"/>
                <w:szCs w:val="20"/>
              </w:rPr>
            </w:pPr>
            <w:r w:rsidRPr="005E1A78">
              <w:rPr>
                <w:rFonts w:ascii="Times New Roman" w:hAnsi="Times New Roman"/>
                <w:b w:val="0"/>
                <w:bCs w:val="0"/>
                <w:color w:val="auto"/>
                <w:sz w:val="20"/>
                <w:szCs w:val="20"/>
              </w:rPr>
              <w:t>Registered/ Gaza Strip</w:t>
            </w:r>
          </w:p>
        </w:tc>
        <w:tc>
          <w:tcPr>
            <w:tcW w:w="1374" w:type="dxa"/>
            <w:tcBorders>
              <w:left w:val="single" w:sz="4" w:space="0" w:color="auto"/>
            </w:tcBorders>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255</w:t>
            </w:r>
          </w:p>
        </w:tc>
        <w:tc>
          <w:tcPr>
            <w:tcW w:w="1371" w:type="dxa"/>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1060</w:t>
            </w:r>
          </w:p>
        </w:tc>
        <w:tc>
          <w:tcPr>
            <w:tcW w:w="1372" w:type="dxa"/>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144</w:t>
            </w:r>
          </w:p>
        </w:tc>
        <w:tc>
          <w:tcPr>
            <w:tcW w:w="1372" w:type="dxa"/>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9305</w:t>
            </w:r>
          </w:p>
        </w:tc>
        <w:tc>
          <w:tcPr>
            <w:tcW w:w="1372" w:type="dxa"/>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439</w:t>
            </w:r>
          </w:p>
        </w:tc>
        <w:tc>
          <w:tcPr>
            <w:tcW w:w="1381" w:type="dxa"/>
            <w:tcBorders>
              <w:right w:val="single" w:sz="4" w:space="0" w:color="auto"/>
            </w:tcBorders>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66</w:t>
            </w:r>
          </w:p>
        </w:tc>
      </w:tr>
      <w:tr w:rsidR="00B10317" w:rsidRPr="003122A3" w:rsidTr="003F7BF6">
        <w:trPr>
          <w:jc w:val="center"/>
        </w:trPr>
        <w:tc>
          <w:tcPr>
            <w:cnfStyle w:val="001000000000"/>
            <w:tcW w:w="1865" w:type="dxa"/>
            <w:tcBorders>
              <w:top w:val="nil"/>
              <w:left w:val="single" w:sz="4" w:space="0" w:color="auto"/>
              <w:bottom w:val="nil"/>
              <w:right w:val="single" w:sz="4" w:space="0" w:color="auto"/>
            </w:tcBorders>
          </w:tcPr>
          <w:p w:rsidR="00A77FE6" w:rsidRPr="005E1A78" w:rsidRDefault="00B10317" w:rsidP="007277B1">
            <w:pPr>
              <w:spacing w:line="276" w:lineRule="auto"/>
              <w:rPr>
                <w:rFonts w:ascii="Times New Roman" w:hAnsi="Times New Roman"/>
                <w:b w:val="0"/>
                <w:bCs w:val="0"/>
                <w:color w:val="auto"/>
                <w:sz w:val="20"/>
                <w:szCs w:val="20"/>
              </w:rPr>
            </w:pPr>
            <w:r w:rsidRPr="005E1A78">
              <w:rPr>
                <w:rFonts w:ascii="Times New Roman" w:hAnsi="Times New Roman"/>
                <w:b w:val="0"/>
                <w:bCs w:val="0"/>
                <w:color w:val="auto"/>
                <w:sz w:val="20"/>
                <w:szCs w:val="20"/>
              </w:rPr>
              <w:t xml:space="preserve">Of which </w:t>
            </w:r>
            <w:r w:rsidR="00A77FE6" w:rsidRPr="005E1A78">
              <w:rPr>
                <w:rFonts w:ascii="Times New Roman" w:hAnsi="Times New Roman"/>
                <w:b w:val="0"/>
                <w:bCs w:val="0"/>
                <w:color w:val="auto"/>
                <w:sz w:val="20"/>
                <w:szCs w:val="20"/>
              </w:rPr>
              <w:t>Beneficiaries</w:t>
            </w:r>
          </w:p>
        </w:tc>
        <w:tc>
          <w:tcPr>
            <w:tcW w:w="1374" w:type="dxa"/>
            <w:tcBorders>
              <w:left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218</w:t>
            </w:r>
          </w:p>
        </w:tc>
        <w:tc>
          <w:tcPr>
            <w:tcW w:w="1371" w:type="dxa"/>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945</w:t>
            </w:r>
          </w:p>
        </w:tc>
        <w:tc>
          <w:tcPr>
            <w:tcW w:w="1372" w:type="dxa"/>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129</w:t>
            </w:r>
          </w:p>
        </w:tc>
        <w:tc>
          <w:tcPr>
            <w:tcW w:w="1372" w:type="dxa"/>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7483</w:t>
            </w:r>
          </w:p>
        </w:tc>
        <w:tc>
          <w:tcPr>
            <w:tcW w:w="1372" w:type="dxa"/>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374</w:t>
            </w:r>
          </w:p>
        </w:tc>
        <w:tc>
          <w:tcPr>
            <w:tcW w:w="1381" w:type="dxa"/>
            <w:tcBorders>
              <w:right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59</w:t>
            </w:r>
          </w:p>
        </w:tc>
      </w:tr>
      <w:tr w:rsidR="00B10317" w:rsidRPr="003122A3" w:rsidTr="003F7BF6">
        <w:trPr>
          <w:cnfStyle w:val="000000100000"/>
          <w:jc w:val="center"/>
        </w:trPr>
        <w:tc>
          <w:tcPr>
            <w:cnfStyle w:val="001000000000"/>
            <w:tcW w:w="1865" w:type="dxa"/>
            <w:tcBorders>
              <w:top w:val="nil"/>
              <w:left w:val="single" w:sz="4" w:space="0" w:color="auto"/>
              <w:bottom w:val="nil"/>
              <w:right w:val="single" w:sz="4" w:space="0" w:color="auto"/>
            </w:tcBorders>
          </w:tcPr>
          <w:p w:rsidR="00A77FE6" w:rsidRPr="005E1A78" w:rsidRDefault="00A77FE6" w:rsidP="007277B1">
            <w:pPr>
              <w:spacing w:line="276" w:lineRule="auto"/>
              <w:rPr>
                <w:rFonts w:ascii="Times New Roman" w:hAnsi="Times New Roman"/>
                <w:b w:val="0"/>
                <w:bCs w:val="0"/>
                <w:color w:val="auto"/>
                <w:sz w:val="20"/>
                <w:szCs w:val="20"/>
              </w:rPr>
            </w:pPr>
            <w:r w:rsidRPr="005E1A78">
              <w:rPr>
                <w:rFonts w:ascii="Times New Roman" w:hAnsi="Times New Roman"/>
                <w:b w:val="0"/>
                <w:bCs w:val="0"/>
                <w:color w:val="auto"/>
                <w:sz w:val="20"/>
                <w:szCs w:val="20"/>
              </w:rPr>
              <w:t>Registered/ West Bank</w:t>
            </w:r>
          </w:p>
        </w:tc>
        <w:tc>
          <w:tcPr>
            <w:tcW w:w="1374" w:type="dxa"/>
            <w:tcBorders>
              <w:left w:val="single" w:sz="4" w:space="0" w:color="auto"/>
            </w:tcBorders>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101</w:t>
            </w:r>
          </w:p>
        </w:tc>
        <w:tc>
          <w:tcPr>
            <w:tcW w:w="1371" w:type="dxa"/>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351</w:t>
            </w:r>
          </w:p>
        </w:tc>
        <w:tc>
          <w:tcPr>
            <w:tcW w:w="1372" w:type="dxa"/>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114</w:t>
            </w:r>
          </w:p>
        </w:tc>
        <w:tc>
          <w:tcPr>
            <w:tcW w:w="1372" w:type="dxa"/>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6447</w:t>
            </w:r>
          </w:p>
        </w:tc>
        <w:tc>
          <w:tcPr>
            <w:tcW w:w="1372" w:type="dxa"/>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263</w:t>
            </w:r>
          </w:p>
        </w:tc>
        <w:tc>
          <w:tcPr>
            <w:tcW w:w="1381" w:type="dxa"/>
            <w:tcBorders>
              <w:right w:val="single" w:sz="4" w:space="0" w:color="auto"/>
            </w:tcBorders>
          </w:tcPr>
          <w:p w:rsidR="00A77FE6" w:rsidRPr="003122A3" w:rsidRDefault="00A77FE6"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204</w:t>
            </w:r>
          </w:p>
        </w:tc>
      </w:tr>
      <w:tr w:rsidR="00B10317" w:rsidRPr="003122A3" w:rsidTr="003F7BF6">
        <w:trPr>
          <w:jc w:val="center"/>
        </w:trPr>
        <w:tc>
          <w:tcPr>
            <w:cnfStyle w:val="001000000000"/>
            <w:tcW w:w="1865" w:type="dxa"/>
            <w:tcBorders>
              <w:top w:val="nil"/>
              <w:left w:val="single" w:sz="4" w:space="0" w:color="auto"/>
              <w:bottom w:val="single" w:sz="4" w:space="0" w:color="auto"/>
              <w:right w:val="single" w:sz="4" w:space="0" w:color="auto"/>
            </w:tcBorders>
          </w:tcPr>
          <w:p w:rsidR="00A77FE6" w:rsidRPr="005E1A78" w:rsidRDefault="00B10317" w:rsidP="007277B1">
            <w:pPr>
              <w:spacing w:line="276" w:lineRule="auto"/>
              <w:rPr>
                <w:rFonts w:ascii="Times New Roman" w:hAnsi="Times New Roman"/>
                <w:b w:val="0"/>
                <w:bCs w:val="0"/>
                <w:color w:val="auto"/>
                <w:sz w:val="20"/>
                <w:szCs w:val="20"/>
              </w:rPr>
            </w:pPr>
            <w:r w:rsidRPr="005E1A78">
              <w:rPr>
                <w:rFonts w:ascii="Times New Roman" w:hAnsi="Times New Roman"/>
                <w:b w:val="0"/>
                <w:bCs w:val="0"/>
                <w:color w:val="auto"/>
                <w:sz w:val="20"/>
                <w:szCs w:val="20"/>
              </w:rPr>
              <w:t xml:space="preserve">Of which </w:t>
            </w:r>
            <w:r w:rsidR="00A77FE6" w:rsidRPr="005E1A78">
              <w:rPr>
                <w:rFonts w:ascii="Times New Roman" w:hAnsi="Times New Roman"/>
                <w:b w:val="0"/>
                <w:bCs w:val="0"/>
                <w:color w:val="auto"/>
                <w:sz w:val="20"/>
                <w:szCs w:val="20"/>
              </w:rPr>
              <w:t>Beneficiaries</w:t>
            </w:r>
          </w:p>
        </w:tc>
        <w:tc>
          <w:tcPr>
            <w:tcW w:w="1374" w:type="dxa"/>
            <w:tcBorders>
              <w:left w:val="single" w:sz="4" w:space="0" w:color="auto"/>
              <w:bottom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63</w:t>
            </w:r>
          </w:p>
        </w:tc>
        <w:tc>
          <w:tcPr>
            <w:tcW w:w="1371" w:type="dxa"/>
            <w:tcBorders>
              <w:bottom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151</w:t>
            </w:r>
          </w:p>
        </w:tc>
        <w:tc>
          <w:tcPr>
            <w:tcW w:w="1372" w:type="dxa"/>
            <w:tcBorders>
              <w:bottom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47</w:t>
            </w:r>
          </w:p>
        </w:tc>
        <w:tc>
          <w:tcPr>
            <w:tcW w:w="1372" w:type="dxa"/>
            <w:tcBorders>
              <w:bottom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3038</w:t>
            </w:r>
          </w:p>
        </w:tc>
        <w:tc>
          <w:tcPr>
            <w:tcW w:w="1372" w:type="dxa"/>
            <w:tcBorders>
              <w:bottom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141</w:t>
            </w:r>
          </w:p>
        </w:tc>
        <w:tc>
          <w:tcPr>
            <w:tcW w:w="1381" w:type="dxa"/>
            <w:tcBorders>
              <w:bottom w:val="single" w:sz="4" w:space="0" w:color="auto"/>
              <w:right w:val="single" w:sz="4" w:space="0" w:color="auto"/>
            </w:tcBorders>
          </w:tcPr>
          <w:p w:rsidR="00A77FE6" w:rsidRPr="003122A3" w:rsidRDefault="00A77FE6"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154</w:t>
            </w:r>
          </w:p>
        </w:tc>
      </w:tr>
    </w:tbl>
    <w:p w:rsidR="00A77FE6" w:rsidRPr="00363A7A" w:rsidRDefault="00A77FE6" w:rsidP="008E657F">
      <w:pPr>
        <w:jc w:val="both"/>
        <w:rPr>
          <w:rFonts w:ascii="Times New Roman" w:hAnsi="Times New Roman" w:cs="Times New Roman"/>
          <w:sz w:val="18"/>
          <w:szCs w:val="18"/>
          <w:rtl/>
        </w:rPr>
      </w:pPr>
      <w:r w:rsidRPr="00363A7A">
        <w:rPr>
          <w:rFonts w:ascii="Times New Roman" w:hAnsi="Times New Roman" w:cs="Times New Roman"/>
          <w:sz w:val="18"/>
          <w:szCs w:val="18"/>
        </w:rPr>
        <w:t xml:space="preserve">Source: </w:t>
      </w:r>
      <w:proofErr w:type="spellStart"/>
      <w:r w:rsidRPr="00363A7A">
        <w:rPr>
          <w:rFonts w:ascii="Times New Roman" w:hAnsi="Times New Roman" w:cs="Times New Roman"/>
          <w:sz w:val="18"/>
          <w:szCs w:val="18"/>
        </w:rPr>
        <w:t>MoSA</w:t>
      </w:r>
      <w:proofErr w:type="spellEnd"/>
      <w:r w:rsidRPr="00363A7A">
        <w:rPr>
          <w:rFonts w:ascii="Times New Roman" w:hAnsi="Times New Roman" w:cs="Times New Roman"/>
          <w:sz w:val="18"/>
          <w:szCs w:val="18"/>
        </w:rPr>
        <w:t>, 2014</w:t>
      </w:r>
    </w:p>
    <w:p w:rsidR="00FF20F2" w:rsidRPr="003122A3" w:rsidRDefault="00B242A7" w:rsidP="00AF181A">
      <w:pPr>
        <w:pStyle w:val="Caption"/>
        <w:bidi w:val="0"/>
        <w:rPr>
          <w:b w:val="0"/>
          <w:bCs w:val="0"/>
          <w:sz w:val="22"/>
          <w:szCs w:val="24"/>
          <w:u w:val="single"/>
          <w:rtl/>
        </w:rPr>
      </w:pPr>
      <w:bookmarkStart w:id="89" w:name="_Toc420268249"/>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35</w:t>
      </w:r>
      <w:r w:rsidR="008F57C8" w:rsidRPr="003122A3">
        <w:rPr>
          <w:sz w:val="22"/>
          <w:szCs w:val="24"/>
        </w:rPr>
        <w:fldChar w:fldCharType="end"/>
      </w:r>
      <w:r w:rsidRPr="003122A3">
        <w:rPr>
          <w:sz w:val="22"/>
          <w:szCs w:val="24"/>
        </w:rPr>
        <w:t xml:space="preserve">: Number of Cases of Violence, Abuse and Negligence against Children Reported by Type of Abuse and </w:t>
      </w:r>
      <w:r w:rsidR="00AF181A">
        <w:rPr>
          <w:sz w:val="22"/>
          <w:szCs w:val="24"/>
        </w:rPr>
        <w:t>Sex</w:t>
      </w:r>
      <w:r w:rsidRPr="003122A3">
        <w:rPr>
          <w:sz w:val="22"/>
          <w:szCs w:val="24"/>
        </w:rPr>
        <w:t>, 2014</w:t>
      </w:r>
      <w:bookmarkEnd w:id="89"/>
    </w:p>
    <w:p w:rsidR="00133EF5" w:rsidRPr="003122A3" w:rsidRDefault="00133EF5" w:rsidP="00B85436">
      <w:pPr>
        <w:jc w:val="center"/>
        <w:rPr>
          <w:rFonts w:ascii="Times New Roman" w:hAnsi="Times New Roman" w:cs="Times New Roman"/>
          <w:b/>
          <w:bCs/>
          <w:sz w:val="24"/>
          <w:szCs w:val="24"/>
          <w:u w:val="single"/>
          <w:rtl/>
        </w:rPr>
      </w:pPr>
      <w:r w:rsidRPr="003122A3">
        <w:rPr>
          <w:rFonts w:ascii="Times New Roman" w:hAnsi="Times New Roman" w:cs="Times New Roman"/>
          <w:b/>
          <w:bCs/>
          <w:noProof/>
          <w:sz w:val="24"/>
          <w:szCs w:val="24"/>
          <w:u w:val="single"/>
          <w:rtl/>
        </w:rPr>
        <w:drawing>
          <wp:inline distT="0" distB="0" distL="0" distR="0">
            <wp:extent cx="5959955" cy="2346385"/>
            <wp:effectExtent l="19050" t="0" r="21745" b="0"/>
            <wp:docPr id="1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663296" w:rsidRPr="003122A3" w:rsidRDefault="00216F18" w:rsidP="008E657F">
      <w:pPr>
        <w:jc w:val="both"/>
        <w:rPr>
          <w:rFonts w:ascii="Times New Roman" w:eastAsia="Times New Roman" w:hAnsi="Times New Roman" w:cs="Times New Roman"/>
          <w:sz w:val="18"/>
          <w:szCs w:val="18"/>
          <w:rtl/>
        </w:rPr>
      </w:pPr>
      <w:r w:rsidRPr="003122A3">
        <w:rPr>
          <w:rFonts w:ascii="Times New Roman" w:eastAsia="Times New Roman" w:hAnsi="Times New Roman" w:cs="Times New Roman"/>
          <w:sz w:val="18"/>
          <w:szCs w:val="18"/>
          <w:rtl/>
        </w:rPr>
        <w:t xml:space="preserve">            </w:t>
      </w:r>
      <w:r w:rsidR="00A77FE6" w:rsidRPr="003122A3">
        <w:rPr>
          <w:rFonts w:ascii="Times New Roman" w:eastAsia="Times New Roman" w:hAnsi="Times New Roman" w:cs="Times New Roman"/>
          <w:sz w:val="18"/>
          <w:szCs w:val="18"/>
        </w:rPr>
        <w:t xml:space="preserve">Source, </w:t>
      </w:r>
      <w:proofErr w:type="spellStart"/>
      <w:r w:rsidR="00A77FE6" w:rsidRPr="003122A3">
        <w:rPr>
          <w:rFonts w:ascii="Times New Roman" w:eastAsia="Times New Roman" w:hAnsi="Times New Roman" w:cs="Times New Roman"/>
          <w:sz w:val="18"/>
          <w:szCs w:val="18"/>
        </w:rPr>
        <w:t>MoSA</w:t>
      </w:r>
      <w:proofErr w:type="spellEnd"/>
      <w:r w:rsidR="00A77FE6" w:rsidRPr="003122A3">
        <w:rPr>
          <w:rFonts w:ascii="Times New Roman" w:eastAsia="Times New Roman" w:hAnsi="Times New Roman" w:cs="Times New Roman"/>
          <w:sz w:val="18"/>
          <w:szCs w:val="18"/>
        </w:rPr>
        <w:t>, 2014</w:t>
      </w:r>
    </w:p>
    <w:p w:rsidR="00A77FE6" w:rsidRDefault="00A77FE6" w:rsidP="00F01C0D">
      <w:pPr>
        <w:spacing w:after="0" w:line="240" w:lineRule="auto"/>
        <w:jc w:val="both"/>
        <w:rPr>
          <w:rFonts w:ascii="Times New Roman" w:eastAsia="Times New Roman" w:hAnsi="Times New Roman" w:cs="Times New Roman"/>
          <w:sz w:val="24"/>
          <w:szCs w:val="24"/>
        </w:rPr>
      </w:pPr>
      <w:r w:rsidRPr="003122A3">
        <w:rPr>
          <w:rFonts w:ascii="Times New Roman" w:eastAsia="Times New Roman" w:hAnsi="Times New Roman" w:cs="Times New Roman"/>
          <w:sz w:val="24"/>
          <w:szCs w:val="24"/>
        </w:rPr>
        <w:t>According to Violence Survey data in the Palestinian society for the year 2011, most physical and psychological violence to children was from parents and teachers, by the father more than the mother, and among males more than females, and psychological abuse is more common than physical abuse</w:t>
      </w:r>
      <w:r w:rsidR="00414A03">
        <w:rPr>
          <w:rFonts w:ascii="Times New Roman" w:eastAsia="Times New Roman" w:hAnsi="Times New Roman" w:cs="Times New Roman"/>
          <w:sz w:val="24"/>
          <w:szCs w:val="24"/>
        </w:rPr>
        <w:t xml:space="preserve"> </w:t>
      </w:r>
      <w:r w:rsidRPr="003122A3">
        <w:rPr>
          <w:rStyle w:val="FootnoteReference"/>
          <w:rFonts w:ascii="Times New Roman" w:eastAsia="Times New Roman" w:hAnsi="Times New Roman" w:cs="Times New Roman"/>
          <w:sz w:val="24"/>
          <w:szCs w:val="24"/>
          <w:rtl/>
        </w:rPr>
        <w:footnoteReference w:id="53"/>
      </w:r>
      <w:r w:rsidRPr="003122A3">
        <w:rPr>
          <w:rFonts w:ascii="Times New Roman" w:eastAsia="Times New Roman" w:hAnsi="Times New Roman" w:cs="Times New Roman"/>
          <w:sz w:val="24"/>
          <w:szCs w:val="24"/>
        </w:rPr>
        <w:t>. The figure below shows that economic exploitation rises at the age of 12 years and therefore parents and children under the age of twelve need to be educated about child labor.</w:t>
      </w:r>
    </w:p>
    <w:p w:rsidR="00F01C0D" w:rsidRPr="003122A3" w:rsidRDefault="00F01C0D" w:rsidP="00F01C0D">
      <w:pPr>
        <w:spacing w:after="0" w:line="240" w:lineRule="auto"/>
        <w:jc w:val="both"/>
        <w:rPr>
          <w:rFonts w:ascii="Times New Roman" w:eastAsia="Times New Roman" w:hAnsi="Times New Roman" w:cs="Times New Roman"/>
          <w:sz w:val="24"/>
          <w:szCs w:val="24"/>
        </w:rPr>
      </w:pPr>
    </w:p>
    <w:p w:rsidR="00A77FE6" w:rsidRDefault="00A77FE6" w:rsidP="00F01C0D">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 some cases children are sexually exploited for economic gain, which means they are sexually exploited; whereas sexual abuse, it involves harassment in addition to full assault against of the child will, which causes emotional, physical and psychological harm.</w:t>
      </w:r>
    </w:p>
    <w:p w:rsidR="00F01C0D" w:rsidRPr="003122A3" w:rsidRDefault="00F01C0D" w:rsidP="00F01C0D">
      <w:pPr>
        <w:spacing w:after="0" w:line="240" w:lineRule="auto"/>
        <w:jc w:val="both"/>
        <w:rPr>
          <w:rFonts w:ascii="Times New Roman" w:hAnsi="Times New Roman" w:cs="Times New Roman"/>
          <w:sz w:val="24"/>
          <w:szCs w:val="24"/>
        </w:rPr>
      </w:pPr>
    </w:p>
    <w:p w:rsidR="00677FAD" w:rsidRPr="003122A3" w:rsidRDefault="00B242A7" w:rsidP="00B85436">
      <w:pPr>
        <w:pStyle w:val="Caption"/>
        <w:bidi w:val="0"/>
        <w:rPr>
          <w:b w:val="0"/>
          <w:bCs w:val="0"/>
          <w:sz w:val="22"/>
          <w:szCs w:val="22"/>
        </w:rPr>
      </w:pPr>
      <w:bookmarkStart w:id="90" w:name="_Toc420268250"/>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36</w:t>
      </w:r>
      <w:r w:rsidR="008F57C8" w:rsidRPr="003122A3">
        <w:rPr>
          <w:sz w:val="22"/>
          <w:szCs w:val="24"/>
        </w:rPr>
        <w:fldChar w:fldCharType="end"/>
      </w:r>
      <w:r w:rsidRPr="003122A3">
        <w:rPr>
          <w:sz w:val="22"/>
          <w:szCs w:val="24"/>
        </w:rPr>
        <w:t>: Number of Reported Cases of Violence, Abuse and Neglect Against Children by Type of Abuse and Age, 2014</w:t>
      </w:r>
      <w:bookmarkEnd w:id="90"/>
    </w:p>
    <w:p w:rsidR="00325E8F" w:rsidRPr="003122A3" w:rsidRDefault="00325E8F" w:rsidP="00B85436">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994951" cy="2246690"/>
            <wp:effectExtent l="57150" t="0" r="81999" b="96460"/>
            <wp:docPr id="4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A77FE6" w:rsidRPr="003122A3" w:rsidRDefault="00A77FE6" w:rsidP="008E657F">
      <w:pPr>
        <w:jc w:val="both"/>
        <w:rPr>
          <w:rFonts w:ascii="Times New Roman" w:hAnsi="Times New Roman" w:cs="Times New Roman"/>
          <w:sz w:val="24"/>
          <w:szCs w:val="24"/>
        </w:rPr>
      </w:pPr>
      <w:r w:rsidRPr="003122A3">
        <w:rPr>
          <w:rFonts w:ascii="Times New Roman" w:hAnsi="Times New Roman" w:cs="Times New Roman"/>
          <w:sz w:val="24"/>
          <w:szCs w:val="24"/>
        </w:rPr>
        <w:t>  </w:t>
      </w:r>
      <w:r w:rsidRPr="003122A3">
        <w:rPr>
          <w:rFonts w:ascii="Times New Roman" w:hAnsi="Times New Roman" w:cs="Times New Roman"/>
          <w:sz w:val="18"/>
          <w:szCs w:val="18"/>
        </w:rPr>
        <w:t>Source: Ministry of Social Affairs. Department of Family Protection 2014.</w:t>
      </w:r>
    </w:p>
    <w:p w:rsidR="00A77FE6" w:rsidRPr="003122A3" w:rsidRDefault="00817A40" w:rsidP="00B85436">
      <w:pPr>
        <w:pStyle w:val="Caption"/>
        <w:bidi w:val="0"/>
        <w:rPr>
          <w:b w:val="0"/>
          <w:bCs w:val="0"/>
          <w:sz w:val="22"/>
          <w:szCs w:val="22"/>
          <w:rtl/>
        </w:rPr>
      </w:pPr>
      <w:bookmarkStart w:id="91" w:name="_Toc420268251"/>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37</w:t>
      </w:r>
      <w:r w:rsidR="008F57C8" w:rsidRPr="003122A3">
        <w:rPr>
          <w:sz w:val="22"/>
          <w:szCs w:val="24"/>
        </w:rPr>
        <w:fldChar w:fldCharType="end"/>
      </w:r>
      <w:r w:rsidRPr="003122A3">
        <w:rPr>
          <w:sz w:val="22"/>
          <w:szCs w:val="24"/>
        </w:rPr>
        <w:t>: Number of Cases of Violence, Abuse and Neglect of Children Reported by Type and Source of Abuse, 2014</w:t>
      </w:r>
      <w:bookmarkEnd w:id="91"/>
    </w:p>
    <w:p w:rsidR="00635A90" w:rsidRPr="003122A3" w:rsidRDefault="00A32F49" w:rsidP="00B85436">
      <w:pPr>
        <w:jc w:val="center"/>
        <w:rPr>
          <w:rFonts w:ascii="Times New Roman" w:eastAsia="Times New Roman" w:hAnsi="Times New Roman" w:cs="Times New Roman"/>
          <w:sz w:val="24"/>
          <w:szCs w:val="24"/>
          <w:rtl/>
        </w:rPr>
      </w:pPr>
      <w:r w:rsidRPr="003122A3">
        <w:rPr>
          <w:rFonts w:ascii="Times New Roman" w:eastAsia="Times New Roman" w:hAnsi="Times New Roman" w:cs="Times New Roman"/>
          <w:noProof/>
          <w:sz w:val="24"/>
          <w:szCs w:val="24"/>
          <w:rtl/>
        </w:rPr>
        <w:drawing>
          <wp:inline distT="0" distB="0" distL="0" distR="0">
            <wp:extent cx="5930013" cy="2286000"/>
            <wp:effectExtent l="57150" t="0" r="70737" b="95250"/>
            <wp:docPr id="62"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A77FE6" w:rsidRPr="003122A3" w:rsidRDefault="0003337E" w:rsidP="00B85436">
      <w:pPr>
        <w:jc w:val="both"/>
        <w:rPr>
          <w:rFonts w:ascii="Times New Roman" w:hAnsi="Times New Roman" w:cs="Times New Roman"/>
          <w:sz w:val="24"/>
          <w:szCs w:val="24"/>
        </w:rPr>
      </w:pPr>
      <w:r w:rsidRPr="003122A3">
        <w:rPr>
          <w:rFonts w:ascii="Times New Roman" w:hAnsi="Times New Roman" w:cs="Times New Roman"/>
          <w:sz w:val="18"/>
          <w:szCs w:val="18"/>
          <w:rtl/>
        </w:rPr>
        <w:t xml:space="preserve">     </w:t>
      </w:r>
      <w:r w:rsidR="00A77FE6" w:rsidRPr="003122A3">
        <w:rPr>
          <w:rFonts w:ascii="Times New Roman" w:hAnsi="Times New Roman" w:cs="Times New Roman"/>
          <w:sz w:val="18"/>
          <w:szCs w:val="18"/>
        </w:rPr>
        <w:t>Source: Ministry of Social Affairs. Department of Family Protection 2014</w:t>
      </w:r>
      <w:r w:rsidR="00A77FE6" w:rsidRPr="003122A3">
        <w:rPr>
          <w:rFonts w:ascii="Times New Roman" w:hAnsi="Times New Roman" w:cs="Times New Roman"/>
          <w:sz w:val="24"/>
          <w:szCs w:val="24"/>
        </w:rPr>
        <w:t> </w:t>
      </w:r>
    </w:p>
    <w:p w:rsidR="009B6EC0" w:rsidRPr="003122A3" w:rsidRDefault="00A77FE6" w:rsidP="00F01C0D">
      <w:pPr>
        <w:spacing w:after="0" w:line="240" w:lineRule="auto"/>
        <w:jc w:val="both"/>
        <w:rPr>
          <w:rFonts w:ascii="Times New Roman" w:eastAsia="Times New Roman" w:hAnsi="Times New Roman" w:cs="Times New Roman"/>
          <w:sz w:val="24"/>
          <w:szCs w:val="24"/>
        </w:rPr>
      </w:pPr>
      <w:r w:rsidRPr="003122A3">
        <w:rPr>
          <w:rFonts w:ascii="Times New Roman" w:eastAsia="Times New Roman" w:hAnsi="Times New Roman" w:cs="Times New Roman"/>
          <w:sz w:val="24"/>
          <w:szCs w:val="24"/>
        </w:rPr>
        <w:t xml:space="preserve">According to the previous figure, it is important to raise awareness of children and families of child protection. Most cases of violence against children are perpetrated by family members and are difficult to control as it is not easy to access the internal environment of the home. As most cases of neglect and emotional abuse occur among children below the age of 12, the role of teachers, </w:t>
      </w:r>
      <w:proofErr w:type="spellStart"/>
      <w:r w:rsidRPr="003122A3">
        <w:rPr>
          <w:rFonts w:ascii="Times New Roman" w:eastAsia="Times New Roman" w:hAnsi="Times New Roman" w:cs="Times New Roman"/>
          <w:sz w:val="24"/>
          <w:szCs w:val="24"/>
        </w:rPr>
        <w:t>couselors</w:t>
      </w:r>
      <w:proofErr w:type="spellEnd"/>
      <w:r w:rsidRPr="003122A3">
        <w:rPr>
          <w:rFonts w:ascii="Times New Roman" w:eastAsia="Times New Roman" w:hAnsi="Times New Roman" w:cs="Times New Roman"/>
          <w:sz w:val="24"/>
          <w:szCs w:val="24"/>
        </w:rPr>
        <w:t>, doctors and health workers in hospitals, maternity and child centers is vital in terms of observing children and intervening when necessary to protect them as per applicable national mechanisms.</w:t>
      </w:r>
    </w:p>
    <w:p w:rsidR="00F01C0D" w:rsidRDefault="00F01C0D" w:rsidP="00FF62E3">
      <w:pPr>
        <w:pStyle w:val="Caption"/>
        <w:bidi w:val="0"/>
        <w:rPr>
          <w:sz w:val="22"/>
          <w:szCs w:val="24"/>
        </w:rPr>
      </w:pPr>
      <w:bookmarkStart w:id="92" w:name="_Toc420268252"/>
    </w:p>
    <w:p w:rsidR="00A77FE6" w:rsidRPr="003122A3" w:rsidRDefault="00817A40" w:rsidP="00F01C0D">
      <w:pPr>
        <w:pStyle w:val="Caption"/>
        <w:bidi w:val="0"/>
        <w:rPr>
          <w:b w:val="0"/>
          <w:bCs w:val="0"/>
          <w:sz w:val="22"/>
          <w:szCs w:val="22"/>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38</w:t>
      </w:r>
      <w:r w:rsidR="008F57C8" w:rsidRPr="003122A3">
        <w:rPr>
          <w:sz w:val="22"/>
          <w:szCs w:val="24"/>
        </w:rPr>
        <w:fldChar w:fldCharType="end"/>
      </w:r>
      <w:r w:rsidRPr="003122A3">
        <w:rPr>
          <w:sz w:val="22"/>
          <w:szCs w:val="24"/>
        </w:rPr>
        <w:t xml:space="preserve">: Percentage of Children Aged 12-17 Years  Exposed to Physical Violence During the Previous 12 Months Prior to the Survey by Region, </w:t>
      </w:r>
      <w:r w:rsidR="00FF62E3" w:rsidRPr="003122A3">
        <w:rPr>
          <w:sz w:val="22"/>
          <w:szCs w:val="24"/>
        </w:rPr>
        <w:t>Sex</w:t>
      </w:r>
      <w:r w:rsidRPr="003122A3">
        <w:rPr>
          <w:sz w:val="22"/>
          <w:szCs w:val="24"/>
        </w:rPr>
        <w:t xml:space="preserve"> and Aggressor, 2011</w:t>
      </w:r>
      <w:bookmarkEnd w:id="92"/>
    </w:p>
    <w:p w:rsidR="00A77FE6" w:rsidRPr="003122A3" w:rsidRDefault="00A77FE6" w:rsidP="00CF1AE8">
      <w:pPr>
        <w:jc w:val="center"/>
        <w:rPr>
          <w:rFonts w:ascii="Times New Roman" w:hAnsi="Times New Roman" w:cs="Times New Roman"/>
          <w:sz w:val="24"/>
          <w:szCs w:val="24"/>
        </w:rPr>
      </w:pPr>
      <w:r w:rsidRPr="003122A3">
        <w:rPr>
          <w:rFonts w:ascii="Times New Roman" w:hAnsi="Times New Roman" w:cs="Times New Roman"/>
          <w:noProof/>
          <w:sz w:val="24"/>
          <w:szCs w:val="24"/>
        </w:rPr>
        <w:drawing>
          <wp:inline distT="0" distB="0" distL="0" distR="0">
            <wp:extent cx="5753040" cy="2225616"/>
            <wp:effectExtent l="19050" t="0" r="19110" b="3234"/>
            <wp:docPr id="13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A77FE6" w:rsidRPr="003122A3" w:rsidRDefault="00A77FE6" w:rsidP="00CF1AE8">
      <w:pPr>
        <w:rPr>
          <w:rFonts w:ascii="Times New Roman" w:hAnsi="Times New Roman" w:cs="Times New Roman"/>
          <w:sz w:val="24"/>
          <w:szCs w:val="24"/>
        </w:rPr>
      </w:pPr>
      <w:r w:rsidRPr="003122A3">
        <w:rPr>
          <w:rFonts w:ascii="Times New Roman" w:hAnsi="Times New Roman" w:cs="Times New Roman"/>
          <w:sz w:val="18"/>
          <w:szCs w:val="18"/>
        </w:rPr>
        <w:t>Source: Palestinian Central Bureau of Statistics,</w:t>
      </w:r>
      <w:r w:rsidR="00F545D0">
        <w:rPr>
          <w:rFonts w:ascii="Times New Roman" w:hAnsi="Times New Roman" w:cs="Times New Roman"/>
          <w:sz w:val="18"/>
          <w:szCs w:val="18"/>
        </w:rPr>
        <w:t xml:space="preserve"> </w:t>
      </w:r>
      <w:r w:rsidRPr="003122A3">
        <w:rPr>
          <w:rFonts w:ascii="Times New Roman" w:hAnsi="Times New Roman" w:cs="Times New Roman"/>
          <w:sz w:val="18"/>
          <w:szCs w:val="18"/>
        </w:rPr>
        <w:t>2012. Violence Survey in Palestinian Society, 2011. Main Findings. Ramallah-</w:t>
      </w:r>
      <w:r w:rsidR="00CF1AE8" w:rsidRPr="003122A3">
        <w:rPr>
          <w:rFonts w:ascii="Times New Roman" w:hAnsi="Times New Roman" w:cs="Times New Roman"/>
          <w:sz w:val="18"/>
          <w:szCs w:val="18"/>
        </w:rPr>
        <w:t xml:space="preserve">   </w:t>
      </w:r>
      <w:r w:rsidR="007277B1" w:rsidRPr="003122A3">
        <w:rPr>
          <w:rFonts w:ascii="Times New Roman" w:hAnsi="Times New Roman" w:cs="Times New Roman"/>
          <w:sz w:val="18"/>
          <w:szCs w:val="18"/>
        </w:rPr>
        <w:t xml:space="preserve"> </w:t>
      </w:r>
      <w:r w:rsidRPr="003122A3">
        <w:rPr>
          <w:rFonts w:ascii="Times New Roman" w:hAnsi="Times New Roman" w:cs="Times New Roman"/>
          <w:sz w:val="18"/>
          <w:szCs w:val="18"/>
        </w:rPr>
        <w:t>Palestine</w:t>
      </w:r>
    </w:p>
    <w:p w:rsidR="00B10317" w:rsidRDefault="00B10317" w:rsidP="00F01C0D">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Almost one in every five children in Palestine has experienced violence at the hands of teachers and one in every fifty children had been experienced  violence by Israeli occupation forces and settlers, while almost all children exposed to this type of violence. In addition, 17 out of every 25 children in Palestine have been subjected to psychological violence by a parent and 7 in every 20 children has been subjected to physical violence by a parent. These figures were higher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than in the West Bank and rates were higher for males than females. These results expose the importance of raising the awareness of parents of acceptable forms of discipline for children as well as the need for government intervention to improve the economic and social conditions which impact the psychological status of parents, children and teachers.</w:t>
      </w:r>
      <w:r w:rsidRPr="003122A3" w:rsidDel="00DD3D0B">
        <w:rPr>
          <w:rFonts w:ascii="Times New Roman" w:hAnsi="Times New Roman" w:cs="Times New Roman"/>
          <w:sz w:val="24"/>
          <w:szCs w:val="24"/>
        </w:rPr>
        <w:t xml:space="preserve"> </w:t>
      </w:r>
    </w:p>
    <w:p w:rsidR="00F01C0D" w:rsidRPr="003122A3" w:rsidRDefault="00F01C0D" w:rsidP="00F01C0D">
      <w:pPr>
        <w:spacing w:after="0" w:line="240" w:lineRule="auto"/>
        <w:jc w:val="both"/>
        <w:rPr>
          <w:rFonts w:ascii="Times New Roman" w:hAnsi="Times New Roman" w:cs="Times New Roman"/>
          <w:sz w:val="24"/>
          <w:szCs w:val="24"/>
        </w:rPr>
      </w:pPr>
    </w:p>
    <w:p w:rsidR="00B10317" w:rsidRPr="003122A3" w:rsidRDefault="00817A40" w:rsidP="00677A69">
      <w:pPr>
        <w:pStyle w:val="Caption"/>
        <w:bidi w:val="0"/>
        <w:rPr>
          <w:b w:val="0"/>
          <w:bCs w:val="0"/>
          <w:sz w:val="22"/>
          <w:szCs w:val="22"/>
        </w:rPr>
      </w:pPr>
      <w:bookmarkStart w:id="93" w:name="_Toc420268253"/>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39</w:t>
      </w:r>
      <w:r w:rsidR="008F57C8" w:rsidRPr="003122A3">
        <w:rPr>
          <w:sz w:val="22"/>
          <w:szCs w:val="24"/>
        </w:rPr>
        <w:fldChar w:fldCharType="end"/>
      </w:r>
      <w:r w:rsidRPr="003122A3">
        <w:rPr>
          <w:sz w:val="22"/>
          <w:szCs w:val="24"/>
        </w:rPr>
        <w:t>: Percentage of Children Aged 12-17 Years Subjected to Violence by a Parent by Type of Violence and Region, 2011</w:t>
      </w:r>
      <w:bookmarkEnd w:id="93"/>
    </w:p>
    <w:p w:rsidR="00B10317" w:rsidRPr="003122A3" w:rsidRDefault="00B10317" w:rsidP="00677A69">
      <w:pPr>
        <w:jc w:val="center"/>
        <w:rPr>
          <w:rFonts w:ascii="Times New Roman" w:hAnsi="Times New Roman" w:cs="Times New Roman"/>
          <w:sz w:val="18"/>
          <w:szCs w:val="18"/>
        </w:rPr>
      </w:pPr>
      <w:r w:rsidRPr="003122A3">
        <w:rPr>
          <w:rFonts w:ascii="Times New Roman" w:hAnsi="Times New Roman" w:cs="Times New Roman"/>
          <w:noProof/>
          <w:sz w:val="24"/>
          <w:szCs w:val="24"/>
        </w:rPr>
        <w:drawing>
          <wp:inline distT="0" distB="0" distL="0" distR="0">
            <wp:extent cx="5756215" cy="2277373"/>
            <wp:effectExtent l="19050" t="0" r="15935" b="8627"/>
            <wp:docPr id="138"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993059" w:rsidRPr="003122A3" w:rsidRDefault="00833BD7" w:rsidP="008E657F">
      <w:pPr>
        <w:jc w:val="both"/>
        <w:rPr>
          <w:rFonts w:ascii="Times New Roman" w:hAnsi="Times New Roman" w:cs="Times New Roman"/>
          <w:sz w:val="18"/>
          <w:szCs w:val="18"/>
          <w:rtl/>
        </w:rPr>
      </w:pPr>
      <w:r>
        <w:rPr>
          <w:rFonts w:ascii="Times New Roman" w:hAnsi="Times New Roman" w:cs="Times New Roman"/>
          <w:sz w:val="18"/>
          <w:szCs w:val="18"/>
        </w:rPr>
        <w:t xml:space="preserve">      </w:t>
      </w:r>
      <w:r w:rsidR="00B10317" w:rsidRPr="003122A3">
        <w:rPr>
          <w:rFonts w:ascii="Times New Roman" w:hAnsi="Times New Roman" w:cs="Times New Roman"/>
          <w:sz w:val="18"/>
          <w:szCs w:val="18"/>
        </w:rPr>
        <w:t> Source: Palestinian Central Bureau of Statistics,2012. Violence Survey in Palestinian Society, 2011</w:t>
      </w:r>
      <w:r w:rsidR="00993059" w:rsidRPr="003122A3">
        <w:rPr>
          <w:rFonts w:ascii="Times New Roman" w:hAnsi="Times New Roman" w:cs="Times New Roman"/>
          <w:sz w:val="18"/>
          <w:szCs w:val="18"/>
          <w:rtl/>
        </w:rPr>
        <w:t>.</w:t>
      </w:r>
    </w:p>
    <w:p w:rsidR="003E4C88" w:rsidRDefault="00B10317" w:rsidP="00414A03">
      <w:pPr>
        <w:pStyle w:val="Heading2"/>
        <w:ind w:left="284" w:firstLineChars="0" w:hanging="284"/>
        <w:jc w:val="left"/>
        <w:rPr>
          <w:rFonts w:ascii="Times New Roman" w:hAnsi="Times New Roman" w:cs="Times New Roman"/>
          <w:sz w:val="24"/>
          <w:szCs w:val="24"/>
        </w:rPr>
      </w:pPr>
      <w:bookmarkStart w:id="94" w:name="_Toc420245005"/>
      <w:r w:rsidRPr="003122A3">
        <w:rPr>
          <w:rFonts w:ascii="Times New Roman" w:hAnsi="Times New Roman" w:cs="Times New Roman"/>
          <w:sz w:val="24"/>
          <w:szCs w:val="24"/>
        </w:rPr>
        <w:t xml:space="preserve">6.6 Statistical Indicators of Children in Foster Families and Children Receiving Inadequate </w:t>
      </w:r>
      <w:r w:rsidR="007277B1" w:rsidRPr="003122A3">
        <w:rPr>
          <w:rFonts w:ascii="Times New Roman" w:hAnsi="Times New Roman" w:cs="Times New Roman"/>
          <w:sz w:val="24"/>
          <w:szCs w:val="24"/>
        </w:rPr>
        <w:t xml:space="preserve">   </w:t>
      </w:r>
      <w:r w:rsidR="00414A03">
        <w:rPr>
          <w:rFonts w:ascii="Times New Roman" w:hAnsi="Times New Roman" w:cs="Times New Roman"/>
          <w:sz w:val="24"/>
          <w:szCs w:val="24"/>
        </w:rPr>
        <w:t xml:space="preserve">  </w:t>
      </w:r>
      <w:r w:rsidRPr="003122A3">
        <w:rPr>
          <w:rFonts w:ascii="Times New Roman" w:hAnsi="Times New Roman" w:cs="Times New Roman"/>
          <w:sz w:val="24"/>
          <w:szCs w:val="24"/>
        </w:rPr>
        <w:t>Family Care</w:t>
      </w:r>
      <w:bookmarkEnd w:id="94"/>
    </w:p>
    <w:p w:rsidR="00F01C0D" w:rsidRPr="00F01C0D" w:rsidRDefault="00F01C0D" w:rsidP="00F01C0D">
      <w:pPr>
        <w:spacing w:after="0" w:line="240" w:lineRule="auto"/>
        <w:jc w:val="both"/>
        <w:rPr>
          <w:rFonts w:ascii="Times New Roman" w:hAnsi="Times New Roman" w:cs="Times New Roman"/>
          <w:sz w:val="24"/>
          <w:szCs w:val="24"/>
        </w:rPr>
      </w:pPr>
    </w:p>
    <w:p w:rsidR="00B10317" w:rsidRDefault="00B10317" w:rsidP="00F01C0D">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Palestinian Multi</w:t>
      </w:r>
      <w:r w:rsidR="00FF62E3" w:rsidRPr="003122A3">
        <w:rPr>
          <w:rFonts w:ascii="Times New Roman" w:hAnsi="Times New Roman" w:cs="Times New Roman"/>
          <w:sz w:val="24"/>
          <w:szCs w:val="24"/>
        </w:rPr>
        <w:t xml:space="preserve">ple </w:t>
      </w:r>
      <w:r w:rsidRPr="003122A3">
        <w:rPr>
          <w:rFonts w:ascii="Times New Roman" w:hAnsi="Times New Roman" w:cs="Times New Roman"/>
          <w:sz w:val="24"/>
          <w:szCs w:val="24"/>
        </w:rPr>
        <w:t xml:space="preserve">Indicator </w:t>
      </w:r>
      <w:r w:rsidR="00FF62E3" w:rsidRPr="003122A3">
        <w:rPr>
          <w:rFonts w:ascii="Times New Roman" w:hAnsi="Times New Roman" w:cs="Times New Roman"/>
          <w:sz w:val="24"/>
          <w:szCs w:val="24"/>
        </w:rPr>
        <w:t xml:space="preserve">Cluster </w:t>
      </w:r>
      <w:r w:rsidRPr="003122A3">
        <w:rPr>
          <w:rFonts w:ascii="Times New Roman" w:hAnsi="Times New Roman" w:cs="Times New Roman"/>
          <w:sz w:val="24"/>
          <w:szCs w:val="24"/>
        </w:rPr>
        <w:t>Survey data show that in 2014</w:t>
      </w:r>
      <w:r w:rsidR="00414A03">
        <w:rPr>
          <w:rFonts w:ascii="Times New Roman" w:hAnsi="Times New Roman" w:cs="Times New Roman"/>
          <w:sz w:val="24"/>
          <w:szCs w:val="24"/>
        </w:rPr>
        <w:t>,</w:t>
      </w:r>
      <w:r w:rsidRPr="003122A3">
        <w:rPr>
          <w:rFonts w:ascii="Times New Roman" w:hAnsi="Times New Roman" w:cs="Times New Roman"/>
          <w:sz w:val="24"/>
          <w:szCs w:val="24"/>
        </w:rPr>
        <w:t xml:space="preserve"> 2.3% of children aged 0-17 years lost either one of their parents and that 2.1% of children aged 0-17 years live with their mothers while their fathers are alive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compared to 1.5% in the West Bank. Percentage of children living with their fathers and their mothers are alive reached 1.0% </w:t>
      </w:r>
      <w:r w:rsidR="00A91E3A">
        <w:rPr>
          <w:rFonts w:ascii="Times New Roman" w:hAnsi="Times New Roman" w:cs="Times New Roman"/>
          <w:sz w:val="24"/>
          <w:szCs w:val="24"/>
        </w:rPr>
        <w:t>in Gaza Strip</w:t>
      </w:r>
      <w:r w:rsidRPr="003122A3">
        <w:rPr>
          <w:rFonts w:ascii="Times New Roman" w:hAnsi="Times New Roman" w:cs="Times New Roman"/>
          <w:sz w:val="24"/>
          <w:szCs w:val="24"/>
        </w:rPr>
        <w:t xml:space="preserve"> and 0.5% in the West Bank.</w:t>
      </w:r>
    </w:p>
    <w:p w:rsidR="00F01C0D" w:rsidRPr="003122A3" w:rsidRDefault="00F01C0D" w:rsidP="00F01C0D">
      <w:pPr>
        <w:spacing w:after="0" w:line="240" w:lineRule="auto"/>
        <w:jc w:val="both"/>
        <w:rPr>
          <w:rFonts w:ascii="Times New Roman" w:hAnsi="Times New Roman" w:cs="Times New Roman"/>
          <w:sz w:val="24"/>
          <w:szCs w:val="24"/>
          <w:rtl/>
        </w:rPr>
      </w:pPr>
    </w:p>
    <w:p w:rsidR="00586006" w:rsidRPr="003122A3" w:rsidRDefault="00586006" w:rsidP="00414A03">
      <w:pPr>
        <w:pStyle w:val="Caption"/>
        <w:keepNext/>
        <w:bidi w:val="0"/>
        <w:rPr>
          <w:sz w:val="22"/>
          <w:szCs w:val="22"/>
        </w:rPr>
      </w:pPr>
      <w:bookmarkStart w:id="95" w:name="_Toc420269306"/>
      <w:r w:rsidRPr="003122A3">
        <w:rPr>
          <w:sz w:val="22"/>
          <w:szCs w:val="22"/>
        </w:rPr>
        <w:t>Table</w:t>
      </w:r>
      <w:r w:rsidR="007277B1"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8</w:t>
      </w:r>
      <w:r w:rsidR="008F57C8" w:rsidRPr="003122A3">
        <w:rPr>
          <w:sz w:val="22"/>
          <w:szCs w:val="22"/>
          <w:rtl/>
        </w:rPr>
        <w:fldChar w:fldCharType="end"/>
      </w:r>
      <w:r w:rsidRPr="003122A3">
        <w:rPr>
          <w:sz w:val="22"/>
          <w:szCs w:val="22"/>
        </w:rPr>
        <w:t xml:space="preserve">: Percentage of Orphan Children Aged 0-17 years in Palestine </w:t>
      </w:r>
      <w:r w:rsidR="00414A03">
        <w:rPr>
          <w:sz w:val="22"/>
          <w:szCs w:val="22"/>
        </w:rPr>
        <w:t>by</w:t>
      </w:r>
      <w:r w:rsidRPr="003122A3">
        <w:rPr>
          <w:sz w:val="22"/>
          <w:szCs w:val="22"/>
        </w:rPr>
        <w:t xml:space="preserve"> region and sex, 2014</w:t>
      </w:r>
      <w:bookmarkEnd w:id="95"/>
    </w:p>
    <w:tbl>
      <w:tblPr>
        <w:tblStyle w:val="LightShading-Accent11"/>
        <w:tblW w:w="0" w:type="auto"/>
        <w:jc w:val="center"/>
        <w:tblLook w:val="04A0"/>
      </w:tblPr>
      <w:tblGrid>
        <w:gridCol w:w="1203"/>
        <w:gridCol w:w="1203"/>
        <w:gridCol w:w="1203"/>
        <w:gridCol w:w="1204"/>
        <w:gridCol w:w="1204"/>
        <w:gridCol w:w="1204"/>
        <w:gridCol w:w="1204"/>
        <w:gridCol w:w="1204"/>
      </w:tblGrid>
      <w:tr w:rsidR="00B10317" w:rsidRPr="003122A3" w:rsidTr="00414A03">
        <w:trPr>
          <w:cnfStyle w:val="100000000000"/>
          <w:trHeight w:val="344"/>
          <w:jc w:val="center"/>
        </w:trPr>
        <w:tc>
          <w:tcPr>
            <w:cnfStyle w:val="001000000000"/>
            <w:tcW w:w="2406" w:type="dxa"/>
            <w:gridSpan w:val="2"/>
            <w:vMerge w:val="restart"/>
            <w:tcBorders>
              <w:top w:val="single" w:sz="4" w:space="0" w:color="auto"/>
              <w:left w:val="single" w:sz="4" w:space="0" w:color="auto"/>
              <w:right w:val="single" w:sz="8" w:space="0" w:color="4F81BD"/>
            </w:tcBorders>
            <w:vAlign w:val="center"/>
          </w:tcPr>
          <w:p w:rsidR="00B10317" w:rsidRPr="003122A3" w:rsidRDefault="00414A03" w:rsidP="00414A03">
            <w:pPr>
              <w:spacing w:line="276" w:lineRule="auto"/>
              <w:jc w:val="center"/>
              <w:rPr>
                <w:rStyle w:val="hps"/>
                <w:rFonts w:ascii="Times New Roman" w:hAnsi="Times New Roman"/>
                <w:color w:val="auto"/>
                <w:sz w:val="20"/>
                <w:szCs w:val="20"/>
              </w:rPr>
            </w:pPr>
            <w:r>
              <w:rPr>
                <w:rStyle w:val="hps"/>
                <w:rFonts w:ascii="Times New Roman" w:hAnsi="Times New Roman"/>
                <w:color w:val="auto"/>
                <w:sz w:val="20"/>
                <w:szCs w:val="20"/>
              </w:rPr>
              <w:t>Region</w:t>
            </w:r>
            <w:r w:rsidR="00B10317" w:rsidRPr="003122A3">
              <w:rPr>
                <w:rStyle w:val="hps"/>
                <w:rFonts w:ascii="Times New Roman" w:hAnsi="Times New Roman"/>
                <w:color w:val="auto"/>
                <w:sz w:val="20"/>
                <w:szCs w:val="20"/>
              </w:rPr>
              <w:t xml:space="preserve"> and Sex</w:t>
            </w:r>
          </w:p>
        </w:tc>
        <w:tc>
          <w:tcPr>
            <w:tcW w:w="1203" w:type="dxa"/>
            <w:vMerge w:val="restart"/>
            <w:tcBorders>
              <w:top w:val="single" w:sz="4" w:space="0" w:color="auto"/>
              <w:left w:val="single" w:sz="8" w:space="0" w:color="4F81BD"/>
              <w:right w:val="single" w:sz="8" w:space="0" w:color="4F81BD"/>
            </w:tcBorders>
          </w:tcPr>
          <w:p w:rsidR="00B10317" w:rsidRPr="003122A3" w:rsidRDefault="00B10317" w:rsidP="00414A03">
            <w:pPr>
              <w:spacing w:line="276" w:lineRule="auto"/>
              <w:jc w:val="center"/>
              <w:cnfStyle w:val="100000000000"/>
              <w:rPr>
                <w:rStyle w:val="hps"/>
                <w:rFonts w:ascii="Times New Roman" w:hAnsi="Times New Roman"/>
                <w:color w:val="auto"/>
                <w:sz w:val="20"/>
                <w:szCs w:val="20"/>
              </w:rPr>
            </w:pPr>
            <w:r w:rsidRPr="003122A3">
              <w:rPr>
                <w:rStyle w:val="hps"/>
                <w:rFonts w:ascii="Times New Roman" w:hAnsi="Times New Roman"/>
                <w:color w:val="auto"/>
                <w:sz w:val="20"/>
                <w:szCs w:val="20"/>
              </w:rPr>
              <w:t xml:space="preserve">One or both parents deceased </w:t>
            </w:r>
          </w:p>
        </w:tc>
        <w:tc>
          <w:tcPr>
            <w:tcW w:w="1204" w:type="dxa"/>
            <w:vMerge w:val="restart"/>
            <w:tcBorders>
              <w:top w:val="single" w:sz="4" w:space="0" w:color="auto"/>
              <w:left w:val="single" w:sz="8" w:space="0" w:color="4F81BD"/>
              <w:right w:val="single" w:sz="8" w:space="0" w:color="4F81BD"/>
            </w:tcBorders>
          </w:tcPr>
          <w:p w:rsidR="00B10317" w:rsidRPr="003122A3" w:rsidRDefault="00B10317" w:rsidP="00414A03">
            <w:pPr>
              <w:spacing w:line="276" w:lineRule="auto"/>
              <w:jc w:val="center"/>
              <w:cnfStyle w:val="100000000000"/>
              <w:rPr>
                <w:rStyle w:val="hps"/>
                <w:rFonts w:ascii="Times New Roman" w:hAnsi="Times New Roman"/>
                <w:color w:val="auto"/>
                <w:sz w:val="20"/>
                <w:szCs w:val="20"/>
              </w:rPr>
            </w:pPr>
            <w:r w:rsidRPr="003122A3">
              <w:rPr>
                <w:rStyle w:val="hps"/>
                <w:rFonts w:ascii="Times New Roman" w:hAnsi="Times New Roman"/>
                <w:color w:val="auto"/>
                <w:sz w:val="20"/>
                <w:szCs w:val="20"/>
              </w:rPr>
              <w:t xml:space="preserve">Living with either parent </w:t>
            </w:r>
          </w:p>
        </w:tc>
        <w:tc>
          <w:tcPr>
            <w:tcW w:w="2408" w:type="dxa"/>
            <w:gridSpan w:val="2"/>
            <w:tcBorders>
              <w:top w:val="single" w:sz="4" w:space="0" w:color="auto"/>
              <w:left w:val="single" w:sz="8" w:space="0" w:color="4F81BD"/>
            </w:tcBorders>
          </w:tcPr>
          <w:p w:rsidR="00B10317" w:rsidRPr="003122A3" w:rsidRDefault="00B10317" w:rsidP="007277B1">
            <w:pPr>
              <w:spacing w:line="276" w:lineRule="auto"/>
              <w:jc w:val="center"/>
              <w:cnfStyle w:val="100000000000"/>
              <w:rPr>
                <w:rStyle w:val="hps"/>
                <w:rFonts w:ascii="Times New Roman" w:hAnsi="Times New Roman"/>
                <w:color w:val="auto"/>
                <w:sz w:val="20"/>
                <w:szCs w:val="20"/>
              </w:rPr>
            </w:pPr>
            <w:r w:rsidRPr="003122A3">
              <w:rPr>
                <w:rStyle w:val="hps"/>
                <w:rFonts w:ascii="Times New Roman" w:hAnsi="Times New Roman"/>
                <w:color w:val="auto"/>
                <w:sz w:val="20"/>
                <w:szCs w:val="20"/>
              </w:rPr>
              <w:t>Living with the Father</w:t>
            </w:r>
          </w:p>
        </w:tc>
        <w:tc>
          <w:tcPr>
            <w:tcW w:w="2408" w:type="dxa"/>
            <w:gridSpan w:val="2"/>
            <w:tcBorders>
              <w:top w:val="single" w:sz="4" w:space="0" w:color="auto"/>
              <w:right w:val="single" w:sz="4" w:space="0" w:color="auto"/>
            </w:tcBorders>
          </w:tcPr>
          <w:p w:rsidR="00B10317" w:rsidRPr="003122A3" w:rsidRDefault="00B10317" w:rsidP="007277B1">
            <w:pPr>
              <w:spacing w:line="276" w:lineRule="auto"/>
              <w:jc w:val="center"/>
              <w:cnfStyle w:val="100000000000"/>
              <w:rPr>
                <w:rStyle w:val="hps"/>
                <w:rFonts w:ascii="Times New Roman" w:hAnsi="Times New Roman"/>
                <w:color w:val="auto"/>
                <w:sz w:val="20"/>
                <w:szCs w:val="20"/>
              </w:rPr>
            </w:pPr>
            <w:r w:rsidRPr="003122A3">
              <w:rPr>
                <w:rStyle w:val="hps"/>
                <w:rFonts w:ascii="Times New Roman" w:hAnsi="Times New Roman"/>
                <w:color w:val="auto"/>
                <w:sz w:val="20"/>
                <w:szCs w:val="20"/>
              </w:rPr>
              <w:t>Living with the Mother</w:t>
            </w:r>
          </w:p>
        </w:tc>
      </w:tr>
      <w:tr w:rsidR="00B10317" w:rsidRPr="003122A3" w:rsidTr="00414A03">
        <w:trPr>
          <w:cnfStyle w:val="000000100000"/>
          <w:trHeight w:val="343"/>
          <w:jc w:val="center"/>
        </w:trPr>
        <w:tc>
          <w:tcPr>
            <w:cnfStyle w:val="001000000000"/>
            <w:tcW w:w="2406" w:type="dxa"/>
            <w:gridSpan w:val="2"/>
            <w:vMerge/>
            <w:tcBorders>
              <w:top w:val="nil"/>
              <w:left w:val="single" w:sz="4" w:space="0" w:color="auto"/>
              <w:bottom w:val="single" w:sz="8" w:space="0" w:color="4F81BD"/>
              <w:right w:val="single" w:sz="8" w:space="0" w:color="4F81BD"/>
            </w:tcBorders>
          </w:tcPr>
          <w:p w:rsidR="00B10317" w:rsidRPr="003122A3" w:rsidRDefault="00B10317" w:rsidP="007277B1">
            <w:pPr>
              <w:spacing w:line="276" w:lineRule="auto"/>
              <w:jc w:val="center"/>
              <w:rPr>
                <w:rStyle w:val="hps"/>
                <w:rFonts w:ascii="Times New Roman" w:hAnsi="Times New Roman"/>
                <w:b w:val="0"/>
                <w:bCs w:val="0"/>
                <w:color w:val="auto"/>
                <w:sz w:val="20"/>
                <w:szCs w:val="20"/>
              </w:rPr>
            </w:pPr>
          </w:p>
        </w:tc>
        <w:tc>
          <w:tcPr>
            <w:tcW w:w="1203" w:type="dxa"/>
            <w:vMerge/>
            <w:tcBorders>
              <w:top w:val="nil"/>
              <w:left w:val="single" w:sz="8" w:space="0" w:color="4F81BD"/>
              <w:bottom w:val="single" w:sz="8" w:space="0" w:color="4F81BD"/>
              <w:right w:val="single" w:sz="8" w:space="0" w:color="4F81BD"/>
            </w:tcBorders>
          </w:tcPr>
          <w:p w:rsidR="00B10317" w:rsidRPr="003122A3" w:rsidRDefault="00B10317" w:rsidP="007277B1">
            <w:pPr>
              <w:spacing w:line="276" w:lineRule="auto"/>
              <w:jc w:val="center"/>
              <w:cnfStyle w:val="000000100000"/>
              <w:rPr>
                <w:rStyle w:val="hps"/>
                <w:rFonts w:ascii="Times New Roman" w:hAnsi="Times New Roman"/>
                <w:b/>
                <w:bCs/>
                <w:color w:val="auto"/>
                <w:sz w:val="20"/>
                <w:szCs w:val="20"/>
              </w:rPr>
            </w:pPr>
          </w:p>
        </w:tc>
        <w:tc>
          <w:tcPr>
            <w:tcW w:w="1204" w:type="dxa"/>
            <w:vMerge/>
            <w:tcBorders>
              <w:top w:val="nil"/>
              <w:left w:val="single" w:sz="8" w:space="0" w:color="4F81BD"/>
              <w:bottom w:val="single" w:sz="8" w:space="0" w:color="4F81BD"/>
              <w:right w:val="single" w:sz="8" w:space="0" w:color="4F81BD"/>
            </w:tcBorders>
          </w:tcPr>
          <w:p w:rsidR="00B10317" w:rsidRPr="003122A3" w:rsidRDefault="00B10317" w:rsidP="007277B1">
            <w:pPr>
              <w:spacing w:line="276" w:lineRule="auto"/>
              <w:jc w:val="center"/>
              <w:cnfStyle w:val="000000100000"/>
              <w:rPr>
                <w:rStyle w:val="hps"/>
                <w:rFonts w:ascii="Times New Roman" w:hAnsi="Times New Roman"/>
                <w:b/>
                <w:bCs/>
                <w:color w:val="auto"/>
                <w:sz w:val="20"/>
                <w:szCs w:val="20"/>
              </w:rPr>
            </w:pPr>
          </w:p>
        </w:tc>
        <w:tc>
          <w:tcPr>
            <w:tcW w:w="1204" w:type="dxa"/>
            <w:tcBorders>
              <w:top w:val="nil"/>
              <w:left w:val="single" w:sz="8" w:space="0" w:color="4F81BD"/>
              <w:bottom w:val="single" w:sz="4" w:space="0" w:color="auto"/>
              <w:right w:val="single" w:sz="4" w:space="0" w:color="auto"/>
            </w:tcBorders>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Deceased mother</w:t>
            </w:r>
          </w:p>
        </w:tc>
        <w:tc>
          <w:tcPr>
            <w:tcW w:w="1204" w:type="dxa"/>
            <w:tcBorders>
              <w:top w:val="nil"/>
              <w:left w:val="single" w:sz="4" w:space="0" w:color="auto"/>
              <w:bottom w:val="single" w:sz="4" w:space="0" w:color="auto"/>
              <w:right w:val="single" w:sz="4" w:space="0" w:color="auto"/>
            </w:tcBorders>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Mother alive</w:t>
            </w:r>
          </w:p>
        </w:tc>
        <w:tc>
          <w:tcPr>
            <w:tcW w:w="1204" w:type="dxa"/>
            <w:tcBorders>
              <w:top w:val="nil"/>
              <w:left w:val="single" w:sz="4" w:space="0" w:color="auto"/>
              <w:bottom w:val="single" w:sz="4" w:space="0" w:color="auto"/>
              <w:right w:val="single" w:sz="4" w:space="0" w:color="auto"/>
            </w:tcBorders>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Father deceased</w:t>
            </w:r>
          </w:p>
        </w:tc>
        <w:tc>
          <w:tcPr>
            <w:tcW w:w="1204" w:type="dxa"/>
            <w:tcBorders>
              <w:left w:val="single" w:sz="4" w:space="0" w:color="auto"/>
              <w:bottom w:val="single" w:sz="4" w:space="0" w:color="auto"/>
              <w:right w:val="single" w:sz="4" w:space="0" w:color="auto"/>
            </w:tcBorders>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Father alive</w:t>
            </w:r>
          </w:p>
        </w:tc>
      </w:tr>
      <w:tr w:rsidR="00B10317" w:rsidRPr="003122A3" w:rsidTr="00414A03">
        <w:trPr>
          <w:jc w:val="center"/>
        </w:trPr>
        <w:tc>
          <w:tcPr>
            <w:cnfStyle w:val="001000000000"/>
            <w:tcW w:w="1203" w:type="dxa"/>
            <w:tcBorders>
              <w:top w:val="single" w:sz="8" w:space="0" w:color="4F81BD"/>
              <w:left w:val="single" w:sz="4" w:space="0" w:color="auto"/>
              <w:bottom w:val="nil"/>
              <w:right w:val="single" w:sz="4" w:space="0" w:color="auto"/>
            </w:tcBorders>
          </w:tcPr>
          <w:p w:rsidR="00B10317" w:rsidRPr="003122A3" w:rsidRDefault="00B10317" w:rsidP="007277B1">
            <w:pPr>
              <w:spacing w:line="276" w:lineRule="auto"/>
              <w:rPr>
                <w:rStyle w:val="hps"/>
                <w:rFonts w:ascii="Times New Roman" w:hAnsi="Times New Roman"/>
                <w:color w:val="auto"/>
                <w:sz w:val="20"/>
                <w:szCs w:val="20"/>
              </w:rPr>
            </w:pPr>
            <w:r w:rsidRPr="003122A3">
              <w:rPr>
                <w:rStyle w:val="hps"/>
                <w:rFonts w:ascii="Times New Roman" w:hAnsi="Times New Roman"/>
                <w:color w:val="auto"/>
                <w:sz w:val="20"/>
                <w:szCs w:val="20"/>
              </w:rPr>
              <w:t>Total</w:t>
            </w:r>
          </w:p>
        </w:tc>
        <w:tc>
          <w:tcPr>
            <w:tcW w:w="1203" w:type="dxa"/>
            <w:tcBorders>
              <w:top w:val="single" w:sz="8" w:space="0" w:color="4F81BD"/>
              <w:left w:val="single" w:sz="4" w:space="0" w:color="auto"/>
              <w:bottom w:val="nil"/>
              <w:right w:val="single" w:sz="4" w:space="0" w:color="auto"/>
            </w:tcBorders>
          </w:tcPr>
          <w:p w:rsidR="00B10317" w:rsidRPr="003122A3" w:rsidRDefault="00B10317" w:rsidP="007277B1">
            <w:pPr>
              <w:spacing w:line="276" w:lineRule="auto"/>
              <w:cnfStyle w:val="000000000000"/>
              <w:rPr>
                <w:rStyle w:val="hps"/>
                <w:rFonts w:ascii="Times New Roman" w:hAnsi="Times New Roman"/>
                <w:b/>
                <w:bCs/>
                <w:color w:val="auto"/>
                <w:sz w:val="20"/>
                <w:szCs w:val="20"/>
              </w:rPr>
            </w:pPr>
          </w:p>
        </w:tc>
        <w:tc>
          <w:tcPr>
            <w:tcW w:w="1203" w:type="dxa"/>
            <w:tcBorders>
              <w:top w:val="single" w:sz="8" w:space="0" w:color="4F81BD"/>
              <w:left w:val="single" w:sz="4" w:space="0" w:color="auto"/>
            </w:tcBorders>
          </w:tcPr>
          <w:p w:rsidR="00B10317" w:rsidRPr="003122A3" w:rsidRDefault="00B10317" w:rsidP="007277B1">
            <w:pPr>
              <w:spacing w:line="276" w:lineRule="auto"/>
              <w:jc w:val="center"/>
              <w:cnfStyle w:val="000000000000"/>
              <w:rPr>
                <w:rStyle w:val="hps"/>
                <w:rFonts w:ascii="Times New Roman" w:hAnsi="Times New Roman"/>
                <w:b/>
                <w:bCs/>
                <w:color w:val="auto"/>
                <w:sz w:val="20"/>
                <w:szCs w:val="20"/>
              </w:rPr>
            </w:pPr>
            <w:r w:rsidRPr="003122A3">
              <w:rPr>
                <w:rStyle w:val="hps"/>
                <w:rFonts w:ascii="Times New Roman" w:hAnsi="Times New Roman"/>
                <w:b/>
                <w:bCs/>
                <w:color w:val="auto"/>
                <w:sz w:val="20"/>
                <w:szCs w:val="20"/>
              </w:rPr>
              <w:t>2.3</w:t>
            </w:r>
          </w:p>
        </w:tc>
        <w:tc>
          <w:tcPr>
            <w:tcW w:w="1204" w:type="dxa"/>
            <w:tcBorders>
              <w:top w:val="single" w:sz="8" w:space="0" w:color="4F81BD"/>
            </w:tcBorders>
          </w:tcPr>
          <w:p w:rsidR="00B10317" w:rsidRPr="003122A3" w:rsidRDefault="00B10317" w:rsidP="007277B1">
            <w:pPr>
              <w:spacing w:line="276" w:lineRule="auto"/>
              <w:jc w:val="center"/>
              <w:cnfStyle w:val="000000000000"/>
              <w:rPr>
                <w:rStyle w:val="hps"/>
                <w:rFonts w:ascii="Times New Roman" w:hAnsi="Times New Roman"/>
                <w:b/>
                <w:bCs/>
                <w:color w:val="auto"/>
                <w:sz w:val="20"/>
                <w:szCs w:val="20"/>
              </w:rPr>
            </w:pPr>
            <w:r w:rsidRPr="003122A3">
              <w:rPr>
                <w:rStyle w:val="hps"/>
                <w:rFonts w:ascii="Times New Roman" w:hAnsi="Times New Roman"/>
                <w:b/>
                <w:bCs/>
                <w:color w:val="auto"/>
                <w:sz w:val="20"/>
                <w:szCs w:val="20"/>
              </w:rPr>
              <w:t>0.6</w:t>
            </w:r>
          </w:p>
        </w:tc>
        <w:tc>
          <w:tcPr>
            <w:tcW w:w="1204" w:type="dxa"/>
            <w:tcBorders>
              <w:top w:val="single" w:sz="4" w:space="0" w:color="auto"/>
            </w:tcBorders>
          </w:tcPr>
          <w:p w:rsidR="00B10317" w:rsidRPr="003122A3" w:rsidRDefault="00B10317" w:rsidP="007277B1">
            <w:pPr>
              <w:spacing w:line="276" w:lineRule="auto"/>
              <w:jc w:val="center"/>
              <w:cnfStyle w:val="000000000000"/>
              <w:rPr>
                <w:rStyle w:val="hps"/>
                <w:rFonts w:ascii="Times New Roman" w:hAnsi="Times New Roman"/>
                <w:b/>
                <w:bCs/>
                <w:color w:val="auto"/>
                <w:sz w:val="20"/>
                <w:szCs w:val="20"/>
              </w:rPr>
            </w:pPr>
            <w:r w:rsidRPr="003122A3">
              <w:rPr>
                <w:rStyle w:val="hps"/>
                <w:rFonts w:ascii="Times New Roman" w:hAnsi="Times New Roman"/>
                <w:b/>
                <w:bCs/>
                <w:color w:val="auto"/>
                <w:sz w:val="20"/>
                <w:szCs w:val="20"/>
              </w:rPr>
              <w:t>0.4</w:t>
            </w:r>
          </w:p>
        </w:tc>
        <w:tc>
          <w:tcPr>
            <w:tcW w:w="1204" w:type="dxa"/>
            <w:tcBorders>
              <w:top w:val="single" w:sz="4" w:space="0" w:color="auto"/>
            </w:tcBorders>
          </w:tcPr>
          <w:p w:rsidR="00B10317" w:rsidRPr="003122A3" w:rsidRDefault="00B10317" w:rsidP="007277B1">
            <w:pPr>
              <w:spacing w:line="276" w:lineRule="auto"/>
              <w:jc w:val="center"/>
              <w:cnfStyle w:val="000000000000"/>
              <w:rPr>
                <w:rStyle w:val="hps"/>
                <w:rFonts w:ascii="Times New Roman" w:hAnsi="Times New Roman"/>
                <w:b/>
                <w:bCs/>
                <w:color w:val="auto"/>
                <w:sz w:val="20"/>
                <w:szCs w:val="20"/>
              </w:rPr>
            </w:pPr>
            <w:r w:rsidRPr="003122A3">
              <w:rPr>
                <w:rStyle w:val="hps"/>
                <w:rFonts w:ascii="Times New Roman" w:hAnsi="Times New Roman"/>
                <w:b/>
                <w:bCs/>
                <w:color w:val="auto"/>
                <w:sz w:val="20"/>
                <w:szCs w:val="20"/>
              </w:rPr>
              <w:t>0.7</w:t>
            </w:r>
          </w:p>
        </w:tc>
        <w:tc>
          <w:tcPr>
            <w:tcW w:w="1204" w:type="dxa"/>
            <w:tcBorders>
              <w:top w:val="single" w:sz="4" w:space="0" w:color="auto"/>
            </w:tcBorders>
          </w:tcPr>
          <w:p w:rsidR="00B10317" w:rsidRPr="003122A3" w:rsidRDefault="00B10317" w:rsidP="007277B1">
            <w:pPr>
              <w:spacing w:line="276" w:lineRule="auto"/>
              <w:jc w:val="center"/>
              <w:cnfStyle w:val="000000000000"/>
              <w:rPr>
                <w:rStyle w:val="hps"/>
                <w:rFonts w:ascii="Times New Roman" w:hAnsi="Times New Roman"/>
                <w:b/>
                <w:bCs/>
                <w:color w:val="auto"/>
                <w:sz w:val="20"/>
                <w:szCs w:val="20"/>
              </w:rPr>
            </w:pPr>
            <w:r w:rsidRPr="003122A3">
              <w:rPr>
                <w:rStyle w:val="hps"/>
                <w:rFonts w:ascii="Times New Roman" w:hAnsi="Times New Roman"/>
                <w:b/>
                <w:bCs/>
                <w:color w:val="auto"/>
                <w:sz w:val="20"/>
                <w:szCs w:val="20"/>
              </w:rPr>
              <w:t>1.7</w:t>
            </w:r>
          </w:p>
        </w:tc>
        <w:tc>
          <w:tcPr>
            <w:tcW w:w="1204" w:type="dxa"/>
            <w:tcBorders>
              <w:top w:val="single" w:sz="4" w:space="0" w:color="auto"/>
              <w:right w:val="single" w:sz="4" w:space="0" w:color="auto"/>
            </w:tcBorders>
          </w:tcPr>
          <w:p w:rsidR="00B10317" w:rsidRPr="003122A3" w:rsidRDefault="00B10317" w:rsidP="007277B1">
            <w:pPr>
              <w:spacing w:line="276" w:lineRule="auto"/>
              <w:jc w:val="center"/>
              <w:cnfStyle w:val="000000000000"/>
              <w:rPr>
                <w:rStyle w:val="hps"/>
                <w:rFonts w:ascii="Times New Roman" w:hAnsi="Times New Roman"/>
                <w:b/>
                <w:bCs/>
                <w:color w:val="auto"/>
                <w:sz w:val="20"/>
                <w:szCs w:val="20"/>
              </w:rPr>
            </w:pPr>
            <w:r w:rsidRPr="003122A3">
              <w:rPr>
                <w:rStyle w:val="hps"/>
                <w:rFonts w:ascii="Times New Roman" w:hAnsi="Times New Roman"/>
                <w:b/>
                <w:bCs/>
                <w:color w:val="auto"/>
                <w:sz w:val="20"/>
                <w:szCs w:val="20"/>
              </w:rPr>
              <w:t>1.7</w:t>
            </w:r>
          </w:p>
        </w:tc>
      </w:tr>
      <w:tr w:rsidR="00B10317" w:rsidRPr="003122A3" w:rsidTr="00414A03">
        <w:trPr>
          <w:cnfStyle w:val="000000100000"/>
          <w:jc w:val="center"/>
        </w:trPr>
        <w:tc>
          <w:tcPr>
            <w:cnfStyle w:val="001000000000"/>
            <w:tcW w:w="1203" w:type="dxa"/>
            <w:tcBorders>
              <w:top w:val="nil"/>
              <w:left w:val="single" w:sz="4" w:space="0" w:color="auto"/>
              <w:bottom w:val="nil"/>
              <w:right w:val="single" w:sz="4" w:space="0" w:color="auto"/>
            </w:tcBorders>
          </w:tcPr>
          <w:p w:rsidR="00B10317" w:rsidRPr="003122A3" w:rsidRDefault="00B10317" w:rsidP="007277B1">
            <w:pPr>
              <w:spacing w:line="276" w:lineRule="auto"/>
              <w:rPr>
                <w:rStyle w:val="hps"/>
                <w:rFonts w:ascii="Times New Roman" w:hAnsi="Times New Roman"/>
                <w:color w:val="auto"/>
                <w:sz w:val="20"/>
                <w:szCs w:val="20"/>
              </w:rPr>
            </w:pPr>
            <w:r w:rsidRPr="003122A3">
              <w:rPr>
                <w:rStyle w:val="hps"/>
                <w:rFonts w:ascii="Times New Roman" w:hAnsi="Times New Roman"/>
                <w:color w:val="auto"/>
                <w:sz w:val="20"/>
                <w:szCs w:val="20"/>
              </w:rPr>
              <w:t>Region</w:t>
            </w:r>
          </w:p>
        </w:tc>
        <w:tc>
          <w:tcPr>
            <w:tcW w:w="1203" w:type="dxa"/>
            <w:tcBorders>
              <w:top w:val="nil"/>
              <w:left w:val="single" w:sz="4" w:space="0" w:color="auto"/>
              <w:bottom w:val="nil"/>
              <w:right w:val="single" w:sz="4" w:space="0" w:color="auto"/>
            </w:tcBorders>
          </w:tcPr>
          <w:p w:rsidR="00B10317" w:rsidRPr="003122A3" w:rsidRDefault="00B10317" w:rsidP="007277B1">
            <w:pPr>
              <w:spacing w:line="276" w:lineRule="auto"/>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West Bank</w:t>
            </w:r>
          </w:p>
        </w:tc>
        <w:tc>
          <w:tcPr>
            <w:tcW w:w="1203" w:type="dxa"/>
            <w:tcBorders>
              <w:left w:val="single" w:sz="4" w:space="0" w:color="auto"/>
            </w:tcBorders>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2.0</w:t>
            </w:r>
          </w:p>
        </w:tc>
        <w:tc>
          <w:tcPr>
            <w:tcW w:w="1204" w:type="dxa"/>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0.3</w:t>
            </w:r>
          </w:p>
        </w:tc>
        <w:tc>
          <w:tcPr>
            <w:tcW w:w="1204" w:type="dxa"/>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0.3</w:t>
            </w:r>
          </w:p>
        </w:tc>
        <w:tc>
          <w:tcPr>
            <w:tcW w:w="1204" w:type="dxa"/>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0.5</w:t>
            </w:r>
          </w:p>
        </w:tc>
        <w:tc>
          <w:tcPr>
            <w:tcW w:w="1204" w:type="dxa"/>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1.6</w:t>
            </w:r>
          </w:p>
        </w:tc>
        <w:tc>
          <w:tcPr>
            <w:tcW w:w="1204" w:type="dxa"/>
            <w:tcBorders>
              <w:right w:val="single" w:sz="4" w:space="0" w:color="auto"/>
            </w:tcBorders>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1.5</w:t>
            </w:r>
          </w:p>
        </w:tc>
      </w:tr>
      <w:tr w:rsidR="00B10317" w:rsidRPr="003122A3" w:rsidTr="00414A03">
        <w:trPr>
          <w:jc w:val="center"/>
        </w:trPr>
        <w:tc>
          <w:tcPr>
            <w:cnfStyle w:val="001000000000"/>
            <w:tcW w:w="1203" w:type="dxa"/>
            <w:tcBorders>
              <w:top w:val="nil"/>
              <w:left w:val="single" w:sz="4" w:space="0" w:color="auto"/>
              <w:bottom w:val="nil"/>
              <w:right w:val="single" w:sz="4" w:space="0" w:color="auto"/>
            </w:tcBorders>
          </w:tcPr>
          <w:p w:rsidR="00B10317" w:rsidRPr="003122A3" w:rsidRDefault="00B10317" w:rsidP="007277B1">
            <w:pPr>
              <w:spacing w:line="276" w:lineRule="auto"/>
              <w:rPr>
                <w:rStyle w:val="hps"/>
                <w:rFonts w:ascii="Times New Roman" w:hAnsi="Times New Roman"/>
                <w:color w:val="auto"/>
                <w:sz w:val="20"/>
                <w:szCs w:val="20"/>
              </w:rPr>
            </w:pPr>
          </w:p>
        </w:tc>
        <w:tc>
          <w:tcPr>
            <w:tcW w:w="1203" w:type="dxa"/>
            <w:tcBorders>
              <w:top w:val="nil"/>
              <w:left w:val="single" w:sz="4" w:space="0" w:color="auto"/>
              <w:bottom w:val="nil"/>
              <w:right w:val="single" w:sz="4" w:space="0" w:color="auto"/>
            </w:tcBorders>
          </w:tcPr>
          <w:p w:rsidR="00B10317" w:rsidRPr="003122A3" w:rsidRDefault="00B10317" w:rsidP="007277B1">
            <w:pPr>
              <w:spacing w:line="276" w:lineRule="auto"/>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Gaza Strip</w:t>
            </w:r>
          </w:p>
        </w:tc>
        <w:tc>
          <w:tcPr>
            <w:tcW w:w="1203" w:type="dxa"/>
            <w:tcBorders>
              <w:left w:val="single" w:sz="4" w:space="0" w:color="auto"/>
            </w:tcBorders>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2.6</w:t>
            </w:r>
          </w:p>
        </w:tc>
        <w:tc>
          <w:tcPr>
            <w:tcW w:w="1204" w:type="dxa"/>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0.9</w:t>
            </w:r>
          </w:p>
        </w:tc>
        <w:tc>
          <w:tcPr>
            <w:tcW w:w="1204" w:type="dxa"/>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0.6</w:t>
            </w:r>
          </w:p>
        </w:tc>
        <w:tc>
          <w:tcPr>
            <w:tcW w:w="1204" w:type="dxa"/>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1.0</w:t>
            </w:r>
          </w:p>
        </w:tc>
        <w:tc>
          <w:tcPr>
            <w:tcW w:w="1204" w:type="dxa"/>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1.8</w:t>
            </w:r>
          </w:p>
        </w:tc>
        <w:tc>
          <w:tcPr>
            <w:tcW w:w="1204" w:type="dxa"/>
            <w:tcBorders>
              <w:right w:val="single" w:sz="4" w:space="0" w:color="auto"/>
            </w:tcBorders>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2.1</w:t>
            </w:r>
          </w:p>
        </w:tc>
      </w:tr>
      <w:tr w:rsidR="00B10317" w:rsidRPr="003122A3" w:rsidTr="00414A03">
        <w:trPr>
          <w:cnfStyle w:val="000000100000"/>
          <w:jc w:val="center"/>
        </w:trPr>
        <w:tc>
          <w:tcPr>
            <w:cnfStyle w:val="001000000000"/>
            <w:tcW w:w="1203" w:type="dxa"/>
            <w:tcBorders>
              <w:top w:val="nil"/>
              <w:left w:val="single" w:sz="4" w:space="0" w:color="auto"/>
              <w:bottom w:val="nil"/>
              <w:right w:val="single" w:sz="4" w:space="0" w:color="auto"/>
            </w:tcBorders>
          </w:tcPr>
          <w:p w:rsidR="00B10317" w:rsidRPr="003122A3" w:rsidRDefault="00B10317" w:rsidP="007277B1">
            <w:pPr>
              <w:spacing w:line="276" w:lineRule="auto"/>
              <w:rPr>
                <w:rStyle w:val="hps"/>
                <w:rFonts w:ascii="Times New Roman" w:hAnsi="Times New Roman"/>
                <w:color w:val="auto"/>
                <w:sz w:val="20"/>
                <w:szCs w:val="20"/>
              </w:rPr>
            </w:pPr>
            <w:r w:rsidRPr="003122A3">
              <w:rPr>
                <w:rStyle w:val="hps"/>
                <w:rFonts w:ascii="Times New Roman" w:hAnsi="Times New Roman"/>
                <w:color w:val="auto"/>
                <w:sz w:val="20"/>
                <w:szCs w:val="20"/>
              </w:rPr>
              <w:t>Sex</w:t>
            </w:r>
          </w:p>
        </w:tc>
        <w:tc>
          <w:tcPr>
            <w:tcW w:w="1203" w:type="dxa"/>
            <w:tcBorders>
              <w:top w:val="nil"/>
              <w:left w:val="single" w:sz="4" w:space="0" w:color="auto"/>
              <w:bottom w:val="nil"/>
              <w:right w:val="single" w:sz="4" w:space="0" w:color="auto"/>
            </w:tcBorders>
          </w:tcPr>
          <w:p w:rsidR="00B10317" w:rsidRPr="003122A3" w:rsidRDefault="00B10317" w:rsidP="007277B1">
            <w:pPr>
              <w:spacing w:line="276" w:lineRule="auto"/>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Males</w:t>
            </w:r>
          </w:p>
        </w:tc>
        <w:tc>
          <w:tcPr>
            <w:tcW w:w="1203" w:type="dxa"/>
            <w:tcBorders>
              <w:left w:val="single" w:sz="4" w:space="0" w:color="auto"/>
            </w:tcBorders>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2.2</w:t>
            </w:r>
          </w:p>
        </w:tc>
        <w:tc>
          <w:tcPr>
            <w:tcW w:w="1204" w:type="dxa"/>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0.3</w:t>
            </w:r>
          </w:p>
        </w:tc>
        <w:tc>
          <w:tcPr>
            <w:tcW w:w="1204" w:type="dxa"/>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0.4</w:t>
            </w:r>
          </w:p>
        </w:tc>
        <w:tc>
          <w:tcPr>
            <w:tcW w:w="1204" w:type="dxa"/>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0.7</w:t>
            </w:r>
          </w:p>
        </w:tc>
        <w:tc>
          <w:tcPr>
            <w:tcW w:w="1204" w:type="dxa"/>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1.6</w:t>
            </w:r>
          </w:p>
        </w:tc>
        <w:tc>
          <w:tcPr>
            <w:tcW w:w="1204" w:type="dxa"/>
            <w:tcBorders>
              <w:right w:val="single" w:sz="4" w:space="0" w:color="auto"/>
            </w:tcBorders>
          </w:tcPr>
          <w:p w:rsidR="00B10317" w:rsidRPr="003122A3" w:rsidRDefault="00B10317" w:rsidP="007277B1">
            <w:pPr>
              <w:spacing w:line="276" w:lineRule="auto"/>
              <w:jc w:val="center"/>
              <w:cnfStyle w:val="000000100000"/>
              <w:rPr>
                <w:rStyle w:val="hps"/>
                <w:rFonts w:ascii="Times New Roman" w:hAnsi="Times New Roman"/>
                <w:color w:val="auto"/>
                <w:sz w:val="20"/>
                <w:szCs w:val="20"/>
              </w:rPr>
            </w:pPr>
            <w:r w:rsidRPr="003122A3">
              <w:rPr>
                <w:rStyle w:val="hps"/>
                <w:rFonts w:ascii="Times New Roman" w:hAnsi="Times New Roman"/>
                <w:color w:val="auto"/>
                <w:sz w:val="20"/>
                <w:szCs w:val="20"/>
              </w:rPr>
              <w:t>1.6</w:t>
            </w:r>
          </w:p>
        </w:tc>
      </w:tr>
      <w:tr w:rsidR="00B10317" w:rsidRPr="003122A3" w:rsidTr="00414A03">
        <w:trPr>
          <w:jc w:val="center"/>
        </w:trPr>
        <w:tc>
          <w:tcPr>
            <w:cnfStyle w:val="001000000000"/>
            <w:tcW w:w="1203" w:type="dxa"/>
            <w:tcBorders>
              <w:top w:val="nil"/>
              <w:left w:val="single" w:sz="4" w:space="0" w:color="auto"/>
              <w:bottom w:val="single" w:sz="4" w:space="0" w:color="auto"/>
              <w:right w:val="single" w:sz="4" w:space="0" w:color="auto"/>
            </w:tcBorders>
          </w:tcPr>
          <w:p w:rsidR="00B10317" w:rsidRPr="003122A3" w:rsidRDefault="00B10317" w:rsidP="007277B1">
            <w:pPr>
              <w:spacing w:line="276" w:lineRule="auto"/>
              <w:rPr>
                <w:rStyle w:val="hps"/>
                <w:rFonts w:ascii="Times New Roman" w:hAnsi="Times New Roman"/>
                <w:b w:val="0"/>
                <w:bCs w:val="0"/>
                <w:color w:val="auto"/>
                <w:sz w:val="20"/>
                <w:szCs w:val="20"/>
              </w:rPr>
            </w:pPr>
          </w:p>
        </w:tc>
        <w:tc>
          <w:tcPr>
            <w:tcW w:w="1203" w:type="dxa"/>
            <w:tcBorders>
              <w:top w:val="nil"/>
              <w:left w:val="single" w:sz="4" w:space="0" w:color="auto"/>
              <w:bottom w:val="single" w:sz="4" w:space="0" w:color="auto"/>
              <w:right w:val="single" w:sz="4" w:space="0" w:color="auto"/>
            </w:tcBorders>
          </w:tcPr>
          <w:p w:rsidR="00B10317" w:rsidRPr="003122A3" w:rsidRDefault="00B10317" w:rsidP="007277B1">
            <w:pPr>
              <w:spacing w:line="276" w:lineRule="auto"/>
              <w:cnfStyle w:val="000000000000"/>
              <w:rPr>
                <w:rStyle w:val="hps"/>
                <w:rFonts w:ascii="Times New Roman" w:hAnsi="Times New Roman"/>
                <w:color w:val="auto"/>
                <w:sz w:val="20"/>
                <w:szCs w:val="20"/>
              </w:rPr>
            </w:pPr>
            <w:proofErr w:type="spellStart"/>
            <w:r w:rsidRPr="003122A3">
              <w:rPr>
                <w:rStyle w:val="hps"/>
                <w:rFonts w:ascii="Times New Roman" w:hAnsi="Times New Roman"/>
                <w:color w:val="auto"/>
                <w:sz w:val="20"/>
                <w:szCs w:val="20"/>
              </w:rPr>
              <w:t>Famale</w:t>
            </w:r>
            <w:proofErr w:type="spellEnd"/>
          </w:p>
        </w:tc>
        <w:tc>
          <w:tcPr>
            <w:tcW w:w="1203" w:type="dxa"/>
            <w:tcBorders>
              <w:left w:val="single" w:sz="4" w:space="0" w:color="auto"/>
              <w:bottom w:val="single" w:sz="4" w:space="0" w:color="auto"/>
            </w:tcBorders>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2.4</w:t>
            </w:r>
          </w:p>
        </w:tc>
        <w:tc>
          <w:tcPr>
            <w:tcW w:w="1204" w:type="dxa"/>
            <w:tcBorders>
              <w:bottom w:val="single" w:sz="4" w:space="0" w:color="auto"/>
            </w:tcBorders>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0.8</w:t>
            </w:r>
          </w:p>
        </w:tc>
        <w:tc>
          <w:tcPr>
            <w:tcW w:w="1204" w:type="dxa"/>
            <w:tcBorders>
              <w:bottom w:val="single" w:sz="4" w:space="0" w:color="auto"/>
            </w:tcBorders>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0.4</w:t>
            </w:r>
          </w:p>
        </w:tc>
        <w:tc>
          <w:tcPr>
            <w:tcW w:w="1204" w:type="dxa"/>
            <w:tcBorders>
              <w:bottom w:val="single" w:sz="4" w:space="0" w:color="auto"/>
            </w:tcBorders>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0.7</w:t>
            </w:r>
          </w:p>
        </w:tc>
        <w:tc>
          <w:tcPr>
            <w:tcW w:w="1204" w:type="dxa"/>
            <w:tcBorders>
              <w:bottom w:val="single" w:sz="4" w:space="0" w:color="auto"/>
            </w:tcBorders>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1.8</w:t>
            </w:r>
          </w:p>
        </w:tc>
        <w:tc>
          <w:tcPr>
            <w:tcW w:w="1204" w:type="dxa"/>
            <w:tcBorders>
              <w:bottom w:val="single" w:sz="4" w:space="0" w:color="auto"/>
              <w:right w:val="single" w:sz="4" w:space="0" w:color="auto"/>
            </w:tcBorders>
          </w:tcPr>
          <w:p w:rsidR="00B10317" w:rsidRPr="003122A3" w:rsidRDefault="00B10317" w:rsidP="007277B1">
            <w:pPr>
              <w:spacing w:line="276" w:lineRule="auto"/>
              <w:jc w:val="center"/>
              <w:cnfStyle w:val="000000000000"/>
              <w:rPr>
                <w:rStyle w:val="hps"/>
                <w:rFonts w:ascii="Times New Roman" w:hAnsi="Times New Roman"/>
                <w:color w:val="auto"/>
                <w:sz w:val="20"/>
                <w:szCs w:val="20"/>
              </w:rPr>
            </w:pPr>
            <w:r w:rsidRPr="003122A3">
              <w:rPr>
                <w:rStyle w:val="hps"/>
                <w:rFonts w:ascii="Times New Roman" w:hAnsi="Times New Roman"/>
                <w:color w:val="auto"/>
                <w:sz w:val="20"/>
                <w:szCs w:val="20"/>
              </w:rPr>
              <w:t>1.9</w:t>
            </w:r>
          </w:p>
        </w:tc>
      </w:tr>
    </w:tbl>
    <w:p w:rsidR="00B10317" w:rsidRPr="003122A3" w:rsidRDefault="00B10317" w:rsidP="00FF62E3">
      <w:pPr>
        <w:jc w:val="both"/>
        <w:rPr>
          <w:rStyle w:val="hps"/>
          <w:rFonts w:ascii="Times New Roman" w:hAnsi="Times New Roman" w:cs="Times New Roman"/>
          <w:sz w:val="18"/>
          <w:szCs w:val="18"/>
          <w:rtl/>
        </w:rPr>
      </w:pPr>
      <w:r w:rsidRPr="003122A3">
        <w:rPr>
          <w:rStyle w:val="hps"/>
          <w:rFonts w:ascii="Times New Roman" w:hAnsi="Times New Roman" w:cs="Times New Roman"/>
          <w:sz w:val="18"/>
          <w:szCs w:val="18"/>
        </w:rPr>
        <w:t xml:space="preserve">Source: PCBS 2015, </w:t>
      </w:r>
      <w:r w:rsidR="00FF62E3" w:rsidRPr="003122A3">
        <w:rPr>
          <w:rStyle w:val="hps"/>
          <w:rFonts w:ascii="Times New Roman" w:hAnsi="Times New Roman" w:cs="Times New Roman"/>
          <w:sz w:val="18"/>
          <w:szCs w:val="18"/>
        </w:rPr>
        <w:t>Multiple Indicator Cluster</w:t>
      </w:r>
      <w:r w:rsidRPr="003122A3">
        <w:rPr>
          <w:rStyle w:val="hps"/>
          <w:rFonts w:ascii="Times New Roman" w:hAnsi="Times New Roman" w:cs="Times New Roman"/>
          <w:sz w:val="18"/>
          <w:szCs w:val="18"/>
        </w:rPr>
        <w:t xml:space="preserve"> Survey, 2014 (unpublished data).</w:t>
      </w:r>
    </w:p>
    <w:p w:rsidR="00B10317" w:rsidRDefault="00B10317" w:rsidP="00F01C0D">
      <w:pPr>
        <w:spacing w:after="0" w:line="240" w:lineRule="auto"/>
        <w:jc w:val="both"/>
        <w:rPr>
          <w:rFonts w:ascii="Times New Roman" w:eastAsia="Times New Roman" w:hAnsi="Times New Roman" w:cs="Times New Roman"/>
          <w:sz w:val="24"/>
          <w:szCs w:val="24"/>
        </w:rPr>
      </w:pPr>
      <w:r w:rsidRPr="003122A3">
        <w:rPr>
          <w:rFonts w:ascii="Times New Roman" w:eastAsia="Times New Roman" w:hAnsi="Times New Roman" w:cs="Times New Roman"/>
          <w:sz w:val="24"/>
          <w:szCs w:val="24"/>
        </w:rPr>
        <w:t xml:space="preserve">This signals the importance of the role of mothers in the household; it is </w:t>
      </w:r>
      <w:proofErr w:type="spellStart"/>
      <w:r w:rsidRPr="003122A3">
        <w:rPr>
          <w:rFonts w:ascii="Times New Roman" w:eastAsia="Times New Roman" w:hAnsi="Times New Roman" w:cs="Times New Roman"/>
          <w:sz w:val="24"/>
          <w:szCs w:val="24"/>
        </w:rPr>
        <w:t>alarmiong</w:t>
      </w:r>
      <w:proofErr w:type="spellEnd"/>
      <w:r w:rsidRPr="003122A3">
        <w:rPr>
          <w:rFonts w:ascii="Times New Roman" w:eastAsia="Times New Roman" w:hAnsi="Times New Roman" w:cs="Times New Roman"/>
          <w:sz w:val="24"/>
          <w:szCs w:val="24"/>
        </w:rPr>
        <w:t xml:space="preserve"> to note that some families place children in orphanages because they cannot support them financially.</w:t>
      </w:r>
    </w:p>
    <w:p w:rsidR="00F01C0D" w:rsidRPr="003122A3" w:rsidRDefault="00F01C0D" w:rsidP="00F01C0D">
      <w:pPr>
        <w:spacing w:after="0" w:line="240" w:lineRule="auto"/>
        <w:jc w:val="both"/>
        <w:rPr>
          <w:rFonts w:ascii="Times New Roman" w:eastAsia="Times New Roman" w:hAnsi="Times New Roman" w:cs="Times New Roman"/>
          <w:sz w:val="24"/>
          <w:szCs w:val="24"/>
          <w:rtl/>
        </w:rPr>
      </w:pPr>
    </w:p>
    <w:p w:rsidR="00B10317" w:rsidRDefault="00B10317" w:rsidP="00F01C0D">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United Arab Emirates (UAE) branch of the Red Crescent provided 3,212 orphaned children with financial support in 2014, with the </w:t>
      </w:r>
      <w:proofErr w:type="spellStart"/>
      <w:r w:rsidRPr="003122A3">
        <w:rPr>
          <w:rFonts w:ascii="Times New Roman" w:hAnsi="Times New Roman" w:cs="Times New Roman"/>
          <w:sz w:val="24"/>
          <w:szCs w:val="24"/>
        </w:rPr>
        <w:t>hightest</w:t>
      </w:r>
      <w:proofErr w:type="spellEnd"/>
      <w:r w:rsidRPr="003122A3">
        <w:rPr>
          <w:rFonts w:ascii="Times New Roman" w:hAnsi="Times New Roman" w:cs="Times New Roman"/>
          <w:sz w:val="24"/>
          <w:szCs w:val="24"/>
        </w:rPr>
        <w:t xml:space="preserve"> rate of sponsored </w:t>
      </w:r>
      <w:proofErr w:type="spellStart"/>
      <w:r w:rsidRPr="003122A3">
        <w:rPr>
          <w:rFonts w:ascii="Times New Roman" w:hAnsi="Times New Roman" w:cs="Times New Roman"/>
          <w:sz w:val="24"/>
          <w:szCs w:val="24"/>
        </w:rPr>
        <w:t>childrenin</w:t>
      </w:r>
      <w:proofErr w:type="spellEnd"/>
      <w:r w:rsidRPr="003122A3">
        <w:rPr>
          <w:rFonts w:ascii="Times New Roman" w:hAnsi="Times New Roman" w:cs="Times New Roman"/>
          <w:sz w:val="24"/>
          <w:szCs w:val="24"/>
        </w:rPr>
        <w:t xml:space="preserve"> Hebron and the lowest in </w:t>
      </w:r>
      <w:proofErr w:type="spellStart"/>
      <w:r w:rsidRPr="003122A3">
        <w:rPr>
          <w:rFonts w:ascii="Times New Roman" w:hAnsi="Times New Roman" w:cs="Times New Roman"/>
          <w:sz w:val="24"/>
          <w:szCs w:val="24"/>
        </w:rPr>
        <w:t>Salfeet</w:t>
      </w:r>
      <w:proofErr w:type="spellEnd"/>
      <w:r w:rsidR="00A44EEF">
        <w:rPr>
          <w:rFonts w:ascii="Times New Roman" w:hAnsi="Times New Roman" w:cs="Times New Roman"/>
          <w:sz w:val="24"/>
          <w:szCs w:val="24"/>
        </w:rPr>
        <w:t>.</w:t>
      </w:r>
    </w:p>
    <w:p w:rsidR="00F01C0D" w:rsidRPr="003122A3" w:rsidRDefault="00F01C0D" w:rsidP="00F01C0D">
      <w:pPr>
        <w:spacing w:after="0" w:line="240" w:lineRule="auto"/>
        <w:jc w:val="both"/>
        <w:rPr>
          <w:rFonts w:ascii="Times New Roman" w:hAnsi="Times New Roman" w:cs="Times New Roman"/>
          <w:rtl/>
        </w:rPr>
      </w:pPr>
    </w:p>
    <w:p w:rsidR="006117AD" w:rsidRPr="003122A3" w:rsidRDefault="006117AD" w:rsidP="00677A69">
      <w:pPr>
        <w:pStyle w:val="Caption"/>
        <w:keepNext/>
        <w:bidi w:val="0"/>
        <w:rPr>
          <w:sz w:val="22"/>
          <w:szCs w:val="22"/>
        </w:rPr>
      </w:pPr>
      <w:bookmarkStart w:id="96" w:name="_Toc420269307"/>
      <w:r w:rsidRPr="003122A3">
        <w:rPr>
          <w:sz w:val="22"/>
          <w:szCs w:val="22"/>
        </w:rPr>
        <w:t>Table</w:t>
      </w:r>
      <w:r w:rsidRPr="003122A3">
        <w:rPr>
          <w:sz w:val="22"/>
          <w:szCs w:val="22"/>
          <w:rtl/>
        </w:rPr>
        <w:t xml:space="preserve"> </w:t>
      </w:r>
      <w:r w:rsidR="0015182D" w:rsidRPr="003122A3">
        <w:rPr>
          <w:sz w:val="22"/>
          <w:szCs w:val="22"/>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9</w:t>
      </w:r>
      <w:r w:rsidR="008F57C8" w:rsidRPr="003122A3">
        <w:rPr>
          <w:sz w:val="22"/>
          <w:szCs w:val="22"/>
          <w:rtl/>
        </w:rPr>
        <w:fldChar w:fldCharType="end"/>
      </w:r>
      <w:r w:rsidRPr="003122A3">
        <w:rPr>
          <w:sz w:val="22"/>
          <w:szCs w:val="22"/>
        </w:rPr>
        <w:t>: Number of Children Sponsored by the UAE Red Crescent by Governorate, 2014</w:t>
      </w:r>
      <w:bookmarkEnd w:id="96"/>
    </w:p>
    <w:tbl>
      <w:tblPr>
        <w:tblStyle w:val="LightShading-Accent11"/>
        <w:tblW w:w="0" w:type="auto"/>
        <w:jc w:val="center"/>
        <w:tblInd w:w="52" w:type="dxa"/>
        <w:tblLook w:val="04A0"/>
      </w:tblPr>
      <w:tblGrid>
        <w:gridCol w:w="2468"/>
        <w:gridCol w:w="2407"/>
        <w:gridCol w:w="2407"/>
        <w:gridCol w:w="2408"/>
      </w:tblGrid>
      <w:tr w:rsidR="00B10317" w:rsidRPr="003122A3" w:rsidTr="00414A03">
        <w:trPr>
          <w:cnfStyle w:val="100000000000"/>
          <w:jc w:val="center"/>
        </w:trPr>
        <w:tc>
          <w:tcPr>
            <w:cnfStyle w:val="001000000000"/>
            <w:tcW w:w="2468" w:type="dxa"/>
            <w:tcBorders>
              <w:top w:val="single" w:sz="4" w:space="0" w:color="auto"/>
              <w:left w:val="single" w:sz="4" w:space="0" w:color="auto"/>
              <w:right w:val="single" w:sz="4" w:space="0" w:color="auto"/>
            </w:tcBorders>
          </w:tcPr>
          <w:p w:rsidR="00B10317" w:rsidRPr="00833BD7" w:rsidRDefault="00B10317" w:rsidP="00EE39D7">
            <w:pPr>
              <w:spacing w:line="276" w:lineRule="auto"/>
              <w:jc w:val="center"/>
              <w:rPr>
                <w:rFonts w:ascii="Times New Roman" w:hAnsi="Times New Roman"/>
                <w:color w:val="auto"/>
                <w:sz w:val="20"/>
                <w:szCs w:val="20"/>
              </w:rPr>
            </w:pPr>
            <w:r w:rsidRPr="00833BD7">
              <w:rPr>
                <w:rFonts w:ascii="Times New Roman" w:hAnsi="Times New Roman"/>
                <w:color w:val="auto"/>
                <w:sz w:val="20"/>
                <w:szCs w:val="20"/>
              </w:rPr>
              <w:t>Governorate</w:t>
            </w:r>
          </w:p>
        </w:tc>
        <w:tc>
          <w:tcPr>
            <w:tcW w:w="2407" w:type="dxa"/>
            <w:tcBorders>
              <w:top w:val="single" w:sz="4" w:space="0" w:color="auto"/>
              <w:left w:val="single" w:sz="4" w:space="0" w:color="auto"/>
              <w:right w:val="single" w:sz="4" w:space="0" w:color="auto"/>
            </w:tcBorders>
          </w:tcPr>
          <w:p w:rsidR="00B10317" w:rsidRPr="00833BD7" w:rsidRDefault="00B10317" w:rsidP="00EE39D7">
            <w:pPr>
              <w:spacing w:line="276" w:lineRule="auto"/>
              <w:jc w:val="center"/>
              <w:cnfStyle w:val="100000000000"/>
              <w:rPr>
                <w:rFonts w:ascii="Times New Roman" w:hAnsi="Times New Roman"/>
                <w:color w:val="auto"/>
                <w:sz w:val="20"/>
                <w:szCs w:val="20"/>
              </w:rPr>
            </w:pPr>
            <w:r w:rsidRPr="00833BD7">
              <w:rPr>
                <w:rFonts w:ascii="Times New Roman" w:hAnsi="Times New Roman"/>
                <w:color w:val="auto"/>
                <w:sz w:val="20"/>
                <w:szCs w:val="20"/>
              </w:rPr>
              <w:t>No of Children</w:t>
            </w:r>
          </w:p>
        </w:tc>
        <w:tc>
          <w:tcPr>
            <w:tcW w:w="2407" w:type="dxa"/>
            <w:tcBorders>
              <w:top w:val="single" w:sz="4" w:space="0" w:color="auto"/>
              <w:left w:val="single" w:sz="4" w:space="0" w:color="auto"/>
              <w:right w:val="single" w:sz="4" w:space="0" w:color="auto"/>
            </w:tcBorders>
          </w:tcPr>
          <w:p w:rsidR="00B10317" w:rsidRPr="00833BD7" w:rsidRDefault="00B10317" w:rsidP="00EE39D7">
            <w:pPr>
              <w:spacing w:line="276" w:lineRule="auto"/>
              <w:jc w:val="center"/>
              <w:cnfStyle w:val="100000000000"/>
              <w:rPr>
                <w:rFonts w:ascii="Times New Roman" w:hAnsi="Times New Roman"/>
                <w:color w:val="auto"/>
                <w:sz w:val="20"/>
                <w:szCs w:val="20"/>
              </w:rPr>
            </w:pPr>
            <w:r w:rsidRPr="00833BD7">
              <w:rPr>
                <w:rFonts w:ascii="Times New Roman" w:hAnsi="Times New Roman"/>
                <w:color w:val="auto"/>
                <w:sz w:val="20"/>
                <w:szCs w:val="20"/>
              </w:rPr>
              <w:t>Governorate</w:t>
            </w:r>
          </w:p>
        </w:tc>
        <w:tc>
          <w:tcPr>
            <w:tcW w:w="2408" w:type="dxa"/>
            <w:tcBorders>
              <w:top w:val="single" w:sz="4" w:space="0" w:color="auto"/>
              <w:left w:val="single" w:sz="4" w:space="0" w:color="auto"/>
              <w:right w:val="single" w:sz="4" w:space="0" w:color="auto"/>
            </w:tcBorders>
          </w:tcPr>
          <w:p w:rsidR="00B10317" w:rsidRPr="00833BD7" w:rsidRDefault="00B10317" w:rsidP="00EE39D7">
            <w:pPr>
              <w:spacing w:line="276" w:lineRule="auto"/>
              <w:jc w:val="center"/>
              <w:cnfStyle w:val="100000000000"/>
              <w:rPr>
                <w:rFonts w:ascii="Times New Roman" w:hAnsi="Times New Roman"/>
                <w:color w:val="auto"/>
                <w:sz w:val="20"/>
                <w:szCs w:val="20"/>
              </w:rPr>
            </w:pPr>
            <w:r w:rsidRPr="00833BD7">
              <w:rPr>
                <w:rFonts w:ascii="Times New Roman" w:hAnsi="Times New Roman"/>
                <w:color w:val="auto"/>
                <w:sz w:val="20"/>
                <w:szCs w:val="20"/>
              </w:rPr>
              <w:t>No of Children</w:t>
            </w:r>
          </w:p>
        </w:tc>
      </w:tr>
      <w:tr w:rsidR="00B10317" w:rsidRPr="003122A3" w:rsidTr="00414A03">
        <w:trPr>
          <w:cnfStyle w:val="000000100000"/>
          <w:jc w:val="center"/>
        </w:trPr>
        <w:tc>
          <w:tcPr>
            <w:cnfStyle w:val="001000000000"/>
            <w:tcW w:w="2468" w:type="dxa"/>
            <w:tcBorders>
              <w:left w:val="single" w:sz="4" w:space="0" w:color="auto"/>
              <w:right w:val="single" w:sz="4" w:space="0" w:color="auto"/>
            </w:tcBorders>
          </w:tcPr>
          <w:p w:rsidR="00B10317" w:rsidRPr="00833BD7" w:rsidRDefault="00B10317" w:rsidP="007277B1">
            <w:pPr>
              <w:spacing w:line="276" w:lineRule="auto"/>
              <w:jc w:val="both"/>
              <w:rPr>
                <w:rFonts w:ascii="Times New Roman" w:hAnsi="Times New Roman"/>
                <w:b w:val="0"/>
                <w:bCs w:val="0"/>
                <w:color w:val="auto"/>
                <w:sz w:val="20"/>
                <w:szCs w:val="20"/>
              </w:rPr>
            </w:pPr>
            <w:r w:rsidRPr="00833BD7">
              <w:rPr>
                <w:rFonts w:ascii="Times New Roman" w:hAnsi="Times New Roman"/>
                <w:b w:val="0"/>
                <w:bCs w:val="0"/>
                <w:color w:val="auto"/>
                <w:sz w:val="20"/>
                <w:szCs w:val="20"/>
              </w:rPr>
              <w:t>Jericho</w:t>
            </w:r>
          </w:p>
        </w:tc>
        <w:tc>
          <w:tcPr>
            <w:tcW w:w="2407" w:type="dxa"/>
            <w:tcBorders>
              <w:left w:val="single" w:sz="4" w:space="0" w:color="auto"/>
              <w:right w:val="single" w:sz="4" w:space="0" w:color="auto"/>
            </w:tcBorders>
          </w:tcPr>
          <w:p w:rsidR="00B10317" w:rsidRPr="003122A3" w:rsidRDefault="00B10317"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131</w:t>
            </w:r>
          </w:p>
        </w:tc>
        <w:tc>
          <w:tcPr>
            <w:tcW w:w="2407" w:type="dxa"/>
            <w:tcBorders>
              <w:left w:val="single" w:sz="4" w:space="0" w:color="auto"/>
              <w:right w:val="single" w:sz="4" w:space="0" w:color="auto"/>
            </w:tcBorders>
          </w:tcPr>
          <w:p w:rsidR="00B10317" w:rsidRPr="00833BD7" w:rsidRDefault="00B10317" w:rsidP="007277B1">
            <w:pPr>
              <w:spacing w:line="276" w:lineRule="auto"/>
              <w:jc w:val="both"/>
              <w:cnfStyle w:val="000000100000"/>
              <w:rPr>
                <w:rFonts w:ascii="Times New Roman" w:hAnsi="Times New Roman"/>
                <w:color w:val="auto"/>
                <w:sz w:val="20"/>
                <w:szCs w:val="20"/>
              </w:rPr>
            </w:pPr>
            <w:r w:rsidRPr="00833BD7">
              <w:rPr>
                <w:rFonts w:ascii="Times New Roman" w:hAnsi="Times New Roman"/>
                <w:color w:val="auto"/>
                <w:sz w:val="20"/>
                <w:szCs w:val="20"/>
              </w:rPr>
              <w:t>Nablus</w:t>
            </w:r>
          </w:p>
        </w:tc>
        <w:tc>
          <w:tcPr>
            <w:tcW w:w="2408" w:type="dxa"/>
            <w:tcBorders>
              <w:left w:val="single" w:sz="4" w:space="0" w:color="auto"/>
              <w:right w:val="single" w:sz="4" w:space="0" w:color="auto"/>
            </w:tcBorders>
          </w:tcPr>
          <w:p w:rsidR="00B10317" w:rsidRPr="003122A3" w:rsidRDefault="00B10317" w:rsidP="00CB4AD0">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27</w:t>
            </w:r>
            <w:r w:rsidR="00CB4AD0" w:rsidRPr="003122A3">
              <w:rPr>
                <w:rFonts w:ascii="Times New Roman" w:hAnsi="Times New Roman"/>
                <w:color w:val="auto"/>
                <w:sz w:val="20"/>
                <w:szCs w:val="20"/>
              </w:rPr>
              <w:t>3</w:t>
            </w:r>
          </w:p>
        </w:tc>
      </w:tr>
      <w:tr w:rsidR="00B10317" w:rsidRPr="003122A3" w:rsidTr="00414A03">
        <w:trPr>
          <w:jc w:val="center"/>
        </w:trPr>
        <w:tc>
          <w:tcPr>
            <w:cnfStyle w:val="001000000000"/>
            <w:tcW w:w="2468" w:type="dxa"/>
            <w:tcBorders>
              <w:left w:val="single" w:sz="4" w:space="0" w:color="auto"/>
              <w:right w:val="single" w:sz="4" w:space="0" w:color="auto"/>
            </w:tcBorders>
          </w:tcPr>
          <w:p w:rsidR="00B10317" w:rsidRPr="00833BD7" w:rsidRDefault="00B10317" w:rsidP="007277B1">
            <w:pPr>
              <w:spacing w:line="276" w:lineRule="auto"/>
              <w:jc w:val="both"/>
              <w:rPr>
                <w:rFonts w:ascii="Times New Roman" w:hAnsi="Times New Roman"/>
                <w:b w:val="0"/>
                <w:bCs w:val="0"/>
                <w:color w:val="auto"/>
                <w:sz w:val="20"/>
                <w:szCs w:val="20"/>
              </w:rPr>
            </w:pPr>
            <w:r w:rsidRPr="00833BD7">
              <w:rPr>
                <w:rFonts w:ascii="Times New Roman" w:hAnsi="Times New Roman"/>
                <w:b w:val="0"/>
                <w:bCs w:val="0"/>
                <w:color w:val="auto"/>
                <w:sz w:val="20"/>
                <w:szCs w:val="20"/>
              </w:rPr>
              <w:t xml:space="preserve">Hebron </w:t>
            </w:r>
          </w:p>
        </w:tc>
        <w:tc>
          <w:tcPr>
            <w:tcW w:w="2407" w:type="dxa"/>
            <w:tcBorders>
              <w:left w:val="single" w:sz="4" w:space="0" w:color="auto"/>
              <w:right w:val="single" w:sz="4" w:space="0" w:color="auto"/>
            </w:tcBorders>
          </w:tcPr>
          <w:p w:rsidR="00B10317" w:rsidRPr="003122A3" w:rsidRDefault="00B10317"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1099</w:t>
            </w:r>
          </w:p>
        </w:tc>
        <w:tc>
          <w:tcPr>
            <w:tcW w:w="2407" w:type="dxa"/>
            <w:tcBorders>
              <w:left w:val="single" w:sz="4" w:space="0" w:color="auto"/>
              <w:right w:val="single" w:sz="4" w:space="0" w:color="auto"/>
            </w:tcBorders>
          </w:tcPr>
          <w:p w:rsidR="00B10317" w:rsidRPr="00833BD7" w:rsidRDefault="00B10317" w:rsidP="007277B1">
            <w:pPr>
              <w:spacing w:line="276" w:lineRule="auto"/>
              <w:jc w:val="both"/>
              <w:cnfStyle w:val="000000000000"/>
              <w:rPr>
                <w:rFonts w:ascii="Times New Roman" w:hAnsi="Times New Roman"/>
                <w:color w:val="auto"/>
                <w:sz w:val="20"/>
                <w:szCs w:val="20"/>
              </w:rPr>
            </w:pPr>
            <w:proofErr w:type="spellStart"/>
            <w:r w:rsidRPr="00833BD7">
              <w:rPr>
                <w:rFonts w:ascii="Times New Roman" w:hAnsi="Times New Roman"/>
                <w:color w:val="auto"/>
                <w:sz w:val="20"/>
                <w:szCs w:val="20"/>
              </w:rPr>
              <w:t>Yatta</w:t>
            </w:r>
            <w:proofErr w:type="spellEnd"/>
          </w:p>
        </w:tc>
        <w:tc>
          <w:tcPr>
            <w:tcW w:w="2408" w:type="dxa"/>
            <w:tcBorders>
              <w:left w:val="single" w:sz="4" w:space="0" w:color="auto"/>
              <w:right w:val="single" w:sz="4" w:space="0" w:color="auto"/>
            </w:tcBorders>
          </w:tcPr>
          <w:p w:rsidR="00B10317" w:rsidRPr="003122A3" w:rsidRDefault="00B10317"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231</w:t>
            </w:r>
          </w:p>
        </w:tc>
      </w:tr>
      <w:tr w:rsidR="00B10317" w:rsidRPr="003122A3" w:rsidTr="00414A03">
        <w:trPr>
          <w:cnfStyle w:val="000000100000"/>
          <w:jc w:val="center"/>
        </w:trPr>
        <w:tc>
          <w:tcPr>
            <w:cnfStyle w:val="001000000000"/>
            <w:tcW w:w="2468" w:type="dxa"/>
            <w:tcBorders>
              <w:left w:val="single" w:sz="4" w:space="0" w:color="auto"/>
              <w:right w:val="single" w:sz="4" w:space="0" w:color="auto"/>
            </w:tcBorders>
          </w:tcPr>
          <w:p w:rsidR="00B10317" w:rsidRPr="00833BD7" w:rsidRDefault="00B10317" w:rsidP="007277B1">
            <w:pPr>
              <w:spacing w:line="276" w:lineRule="auto"/>
              <w:jc w:val="both"/>
              <w:rPr>
                <w:rFonts w:ascii="Times New Roman" w:hAnsi="Times New Roman"/>
                <w:b w:val="0"/>
                <w:bCs w:val="0"/>
                <w:color w:val="auto"/>
                <w:sz w:val="20"/>
                <w:szCs w:val="20"/>
              </w:rPr>
            </w:pPr>
            <w:r w:rsidRPr="00833BD7">
              <w:rPr>
                <w:rFonts w:ascii="Times New Roman" w:hAnsi="Times New Roman"/>
                <w:b w:val="0"/>
                <w:bCs w:val="0"/>
                <w:color w:val="auto"/>
                <w:sz w:val="20"/>
                <w:szCs w:val="20"/>
              </w:rPr>
              <w:t>Jerusalem</w:t>
            </w:r>
          </w:p>
        </w:tc>
        <w:tc>
          <w:tcPr>
            <w:tcW w:w="2407" w:type="dxa"/>
            <w:tcBorders>
              <w:left w:val="single" w:sz="4" w:space="0" w:color="auto"/>
              <w:right w:val="single" w:sz="4" w:space="0" w:color="auto"/>
            </w:tcBorders>
          </w:tcPr>
          <w:p w:rsidR="00B10317" w:rsidRPr="003122A3" w:rsidRDefault="00B10317"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209</w:t>
            </w:r>
          </w:p>
        </w:tc>
        <w:tc>
          <w:tcPr>
            <w:tcW w:w="2407" w:type="dxa"/>
            <w:tcBorders>
              <w:left w:val="single" w:sz="4" w:space="0" w:color="auto"/>
              <w:right w:val="single" w:sz="4" w:space="0" w:color="auto"/>
            </w:tcBorders>
          </w:tcPr>
          <w:p w:rsidR="00B10317" w:rsidRPr="00833BD7" w:rsidRDefault="00B10317" w:rsidP="00072C1A">
            <w:pPr>
              <w:spacing w:line="276" w:lineRule="auto"/>
              <w:jc w:val="both"/>
              <w:cnfStyle w:val="000000100000"/>
              <w:rPr>
                <w:rFonts w:ascii="Times New Roman" w:hAnsi="Times New Roman"/>
                <w:color w:val="auto"/>
                <w:sz w:val="20"/>
                <w:szCs w:val="20"/>
              </w:rPr>
            </w:pPr>
            <w:proofErr w:type="spellStart"/>
            <w:r w:rsidRPr="00833BD7">
              <w:rPr>
                <w:rFonts w:ascii="Times New Roman" w:hAnsi="Times New Roman"/>
                <w:color w:val="auto"/>
                <w:sz w:val="20"/>
                <w:szCs w:val="20"/>
              </w:rPr>
              <w:t>Salf</w:t>
            </w:r>
            <w:r w:rsidR="00072C1A">
              <w:rPr>
                <w:rFonts w:ascii="Times New Roman" w:hAnsi="Times New Roman"/>
                <w:color w:val="auto"/>
                <w:sz w:val="20"/>
                <w:szCs w:val="20"/>
              </w:rPr>
              <w:t>ee</w:t>
            </w:r>
            <w:r w:rsidRPr="00833BD7">
              <w:rPr>
                <w:rFonts w:ascii="Times New Roman" w:hAnsi="Times New Roman"/>
                <w:color w:val="auto"/>
                <w:sz w:val="20"/>
                <w:szCs w:val="20"/>
              </w:rPr>
              <w:t>t</w:t>
            </w:r>
            <w:proofErr w:type="spellEnd"/>
          </w:p>
        </w:tc>
        <w:tc>
          <w:tcPr>
            <w:tcW w:w="2408" w:type="dxa"/>
            <w:tcBorders>
              <w:left w:val="single" w:sz="4" w:space="0" w:color="auto"/>
              <w:right w:val="single" w:sz="4" w:space="0" w:color="auto"/>
            </w:tcBorders>
          </w:tcPr>
          <w:p w:rsidR="00B10317" w:rsidRPr="003122A3" w:rsidRDefault="00B10317"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28</w:t>
            </w:r>
          </w:p>
        </w:tc>
      </w:tr>
      <w:tr w:rsidR="00B10317" w:rsidRPr="003122A3" w:rsidTr="00414A03">
        <w:trPr>
          <w:jc w:val="center"/>
        </w:trPr>
        <w:tc>
          <w:tcPr>
            <w:cnfStyle w:val="001000000000"/>
            <w:tcW w:w="2468" w:type="dxa"/>
            <w:tcBorders>
              <w:left w:val="single" w:sz="4" w:space="0" w:color="auto"/>
              <w:right w:val="single" w:sz="4" w:space="0" w:color="auto"/>
            </w:tcBorders>
          </w:tcPr>
          <w:p w:rsidR="00B10317" w:rsidRPr="00833BD7" w:rsidRDefault="00B10317" w:rsidP="007277B1">
            <w:pPr>
              <w:spacing w:line="276" w:lineRule="auto"/>
              <w:jc w:val="both"/>
              <w:rPr>
                <w:rFonts w:ascii="Times New Roman" w:hAnsi="Times New Roman"/>
                <w:b w:val="0"/>
                <w:bCs w:val="0"/>
                <w:color w:val="auto"/>
                <w:sz w:val="20"/>
                <w:szCs w:val="20"/>
              </w:rPr>
            </w:pPr>
            <w:r w:rsidRPr="00833BD7">
              <w:rPr>
                <w:rFonts w:ascii="Times New Roman" w:hAnsi="Times New Roman"/>
                <w:b w:val="0"/>
                <w:bCs w:val="0"/>
                <w:color w:val="auto"/>
                <w:sz w:val="20"/>
                <w:szCs w:val="20"/>
              </w:rPr>
              <w:t>Bethlehem</w:t>
            </w:r>
          </w:p>
        </w:tc>
        <w:tc>
          <w:tcPr>
            <w:tcW w:w="2407" w:type="dxa"/>
            <w:tcBorders>
              <w:left w:val="single" w:sz="4" w:space="0" w:color="auto"/>
              <w:right w:val="single" w:sz="4" w:space="0" w:color="auto"/>
            </w:tcBorders>
          </w:tcPr>
          <w:p w:rsidR="00B10317" w:rsidRPr="003122A3" w:rsidRDefault="00B10317"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423</w:t>
            </w:r>
          </w:p>
        </w:tc>
        <w:tc>
          <w:tcPr>
            <w:tcW w:w="2407" w:type="dxa"/>
            <w:tcBorders>
              <w:left w:val="single" w:sz="4" w:space="0" w:color="auto"/>
              <w:right w:val="single" w:sz="4" w:space="0" w:color="auto"/>
            </w:tcBorders>
          </w:tcPr>
          <w:p w:rsidR="00B10317" w:rsidRPr="00833BD7" w:rsidRDefault="00B10317" w:rsidP="007277B1">
            <w:pPr>
              <w:spacing w:line="276" w:lineRule="auto"/>
              <w:jc w:val="both"/>
              <w:cnfStyle w:val="000000000000"/>
              <w:rPr>
                <w:rFonts w:ascii="Times New Roman" w:hAnsi="Times New Roman"/>
                <w:color w:val="auto"/>
                <w:sz w:val="20"/>
                <w:szCs w:val="20"/>
              </w:rPr>
            </w:pPr>
            <w:proofErr w:type="spellStart"/>
            <w:r w:rsidRPr="00833BD7">
              <w:rPr>
                <w:rFonts w:ascii="Times New Roman" w:hAnsi="Times New Roman"/>
                <w:color w:val="auto"/>
                <w:sz w:val="20"/>
                <w:szCs w:val="20"/>
              </w:rPr>
              <w:t>Toubas</w:t>
            </w:r>
            <w:proofErr w:type="spellEnd"/>
            <w:r w:rsidRPr="00833BD7">
              <w:rPr>
                <w:rFonts w:ascii="Times New Roman" w:hAnsi="Times New Roman"/>
                <w:color w:val="auto"/>
                <w:sz w:val="20"/>
                <w:szCs w:val="20"/>
              </w:rPr>
              <w:t xml:space="preserve"> </w:t>
            </w:r>
          </w:p>
        </w:tc>
        <w:tc>
          <w:tcPr>
            <w:tcW w:w="2408" w:type="dxa"/>
            <w:tcBorders>
              <w:left w:val="single" w:sz="4" w:space="0" w:color="auto"/>
              <w:right w:val="single" w:sz="4" w:space="0" w:color="auto"/>
            </w:tcBorders>
          </w:tcPr>
          <w:p w:rsidR="00B10317" w:rsidRPr="003122A3" w:rsidRDefault="00B10317"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78</w:t>
            </w:r>
          </w:p>
        </w:tc>
      </w:tr>
      <w:tr w:rsidR="00B10317" w:rsidRPr="003122A3" w:rsidTr="00414A03">
        <w:trPr>
          <w:cnfStyle w:val="000000100000"/>
          <w:jc w:val="center"/>
        </w:trPr>
        <w:tc>
          <w:tcPr>
            <w:cnfStyle w:val="001000000000"/>
            <w:tcW w:w="2468" w:type="dxa"/>
            <w:tcBorders>
              <w:left w:val="single" w:sz="4" w:space="0" w:color="auto"/>
              <w:right w:val="single" w:sz="4" w:space="0" w:color="auto"/>
            </w:tcBorders>
          </w:tcPr>
          <w:p w:rsidR="00B10317" w:rsidRPr="00833BD7" w:rsidRDefault="00B10317" w:rsidP="007277B1">
            <w:pPr>
              <w:spacing w:line="276" w:lineRule="auto"/>
              <w:jc w:val="both"/>
              <w:rPr>
                <w:rFonts w:ascii="Times New Roman" w:hAnsi="Times New Roman"/>
                <w:b w:val="0"/>
                <w:bCs w:val="0"/>
                <w:color w:val="auto"/>
                <w:sz w:val="20"/>
                <w:szCs w:val="20"/>
              </w:rPr>
            </w:pPr>
            <w:proofErr w:type="spellStart"/>
            <w:r w:rsidRPr="00833BD7">
              <w:rPr>
                <w:rFonts w:ascii="Times New Roman" w:hAnsi="Times New Roman"/>
                <w:b w:val="0"/>
                <w:bCs w:val="0"/>
                <w:color w:val="auto"/>
                <w:sz w:val="20"/>
                <w:szCs w:val="20"/>
              </w:rPr>
              <w:t>Jenin</w:t>
            </w:r>
            <w:proofErr w:type="spellEnd"/>
          </w:p>
        </w:tc>
        <w:tc>
          <w:tcPr>
            <w:tcW w:w="2407" w:type="dxa"/>
            <w:tcBorders>
              <w:left w:val="single" w:sz="4" w:space="0" w:color="auto"/>
              <w:right w:val="single" w:sz="4" w:space="0" w:color="auto"/>
            </w:tcBorders>
          </w:tcPr>
          <w:p w:rsidR="00B10317" w:rsidRPr="003122A3" w:rsidRDefault="00B10317"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194</w:t>
            </w:r>
          </w:p>
        </w:tc>
        <w:tc>
          <w:tcPr>
            <w:tcW w:w="2407" w:type="dxa"/>
            <w:tcBorders>
              <w:left w:val="single" w:sz="4" w:space="0" w:color="auto"/>
              <w:right w:val="single" w:sz="4" w:space="0" w:color="auto"/>
            </w:tcBorders>
          </w:tcPr>
          <w:p w:rsidR="00B10317" w:rsidRPr="00833BD7" w:rsidRDefault="00B10317" w:rsidP="007277B1">
            <w:pPr>
              <w:spacing w:line="276" w:lineRule="auto"/>
              <w:jc w:val="both"/>
              <w:cnfStyle w:val="000000100000"/>
              <w:rPr>
                <w:rFonts w:ascii="Times New Roman" w:hAnsi="Times New Roman"/>
                <w:color w:val="auto"/>
                <w:sz w:val="20"/>
                <w:szCs w:val="20"/>
              </w:rPr>
            </w:pPr>
            <w:proofErr w:type="spellStart"/>
            <w:r w:rsidRPr="00833BD7">
              <w:rPr>
                <w:rFonts w:ascii="Times New Roman" w:hAnsi="Times New Roman"/>
                <w:color w:val="auto"/>
                <w:sz w:val="20"/>
                <w:szCs w:val="20"/>
              </w:rPr>
              <w:t>Tulkarem</w:t>
            </w:r>
            <w:proofErr w:type="spellEnd"/>
          </w:p>
        </w:tc>
        <w:tc>
          <w:tcPr>
            <w:tcW w:w="2408" w:type="dxa"/>
            <w:tcBorders>
              <w:left w:val="single" w:sz="4" w:space="0" w:color="auto"/>
              <w:right w:val="single" w:sz="4" w:space="0" w:color="auto"/>
            </w:tcBorders>
          </w:tcPr>
          <w:p w:rsidR="00B10317" w:rsidRPr="003122A3" w:rsidRDefault="00B10317" w:rsidP="007277B1">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321</w:t>
            </w:r>
          </w:p>
        </w:tc>
      </w:tr>
      <w:tr w:rsidR="00B10317" w:rsidRPr="003122A3" w:rsidTr="00414A03">
        <w:trPr>
          <w:jc w:val="center"/>
        </w:trPr>
        <w:tc>
          <w:tcPr>
            <w:cnfStyle w:val="001000000000"/>
            <w:tcW w:w="2468" w:type="dxa"/>
            <w:tcBorders>
              <w:left w:val="single" w:sz="4" w:space="0" w:color="auto"/>
              <w:bottom w:val="single" w:sz="4" w:space="0" w:color="auto"/>
              <w:right w:val="single" w:sz="4" w:space="0" w:color="auto"/>
            </w:tcBorders>
          </w:tcPr>
          <w:p w:rsidR="00B10317" w:rsidRPr="00833BD7" w:rsidRDefault="00B10317" w:rsidP="007277B1">
            <w:pPr>
              <w:spacing w:line="276" w:lineRule="auto"/>
              <w:jc w:val="both"/>
              <w:rPr>
                <w:rFonts w:ascii="Times New Roman" w:hAnsi="Times New Roman"/>
                <w:b w:val="0"/>
                <w:bCs w:val="0"/>
                <w:color w:val="auto"/>
                <w:sz w:val="20"/>
                <w:szCs w:val="20"/>
              </w:rPr>
            </w:pPr>
            <w:r w:rsidRPr="00833BD7">
              <w:rPr>
                <w:rFonts w:ascii="Times New Roman" w:hAnsi="Times New Roman"/>
                <w:b w:val="0"/>
                <w:bCs w:val="0"/>
                <w:color w:val="auto"/>
                <w:sz w:val="20"/>
                <w:szCs w:val="20"/>
              </w:rPr>
              <w:t>Ramallah</w:t>
            </w:r>
          </w:p>
        </w:tc>
        <w:tc>
          <w:tcPr>
            <w:tcW w:w="2407" w:type="dxa"/>
            <w:tcBorders>
              <w:left w:val="single" w:sz="4" w:space="0" w:color="auto"/>
              <w:bottom w:val="single" w:sz="4" w:space="0" w:color="auto"/>
              <w:right w:val="single" w:sz="4" w:space="0" w:color="auto"/>
            </w:tcBorders>
          </w:tcPr>
          <w:p w:rsidR="00B10317" w:rsidRPr="003122A3" w:rsidRDefault="00B10317"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170</w:t>
            </w:r>
          </w:p>
        </w:tc>
        <w:tc>
          <w:tcPr>
            <w:tcW w:w="2407" w:type="dxa"/>
            <w:tcBorders>
              <w:left w:val="single" w:sz="4" w:space="0" w:color="auto"/>
              <w:bottom w:val="single" w:sz="4" w:space="0" w:color="auto"/>
              <w:right w:val="single" w:sz="4" w:space="0" w:color="auto"/>
            </w:tcBorders>
          </w:tcPr>
          <w:p w:rsidR="00B10317" w:rsidRPr="00833BD7" w:rsidRDefault="00B10317" w:rsidP="007277B1">
            <w:pPr>
              <w:spacing w:line="276" w:lineRule="auto"/>
              <w:jc w:val="both"/>
              <w:cnfStyle w:val="000000000000"/>
              <w:rPr>
                <w:rFonts w:ascii="Times New Roman" w:hAnsi="Times New Roman"/>
                <w:color w:val="auto"/>
                <w:sz w:val="20"/>
                <w:szCs w:val="20"/>
              </w:rPr>
            </w:pPr>
            <w:proofErr w:type="spellStart"/>
            <w:r w:rsidRPr="00833BD7">
              <w:rPr>
                <w:rFonts w:ascii="Times New Roman" w:hAnsi="Times New Roman"/>
                <w:color w:val="auto"/>
                <w:sz w:val="20"/>
                <w:szCs w:val="20"/>
              </w:rPr>
              <w:t>Qalqilia</w:t>
            </w:r>
            <w:proofErr w:type="spellEnd"/>
          </w:p>
        </w:tc>
        <w:tc>
          <w:tcPr>
            <w:tcW w:w="2408" w:type="dxa"/>
            <w:tcBorders>
              <w:left w:val="single" w:sz="4" w:space="0" w:color="auto"/>
              <w:bottom w:val="single" w:sz="4" w:space="0" w:color="auto"/>
              <w:right w:val="single" w:sz="4" w:space="0" w:color="auto"/>
            </w:tcBorders>
          </w:tcPr>
          <w:p w:rsidR="00B10317" w:rsidRPr="003122A3" w:rsidRDefault="00B10317" w:rsidP="007277B1">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55</w:t>
            </w:r>
          </w:p>
        </w:tc>
      </w:tr>
    </w:tbl>
    <w:p w:rsidR="00B10317" w:rsidRPr="00363A7A" w:rsidRDefault="007277B1" w:rsidP="00414A03">
      <w:pPr>
        <w:jc w:val="both"/>
        <w:rPr>
          <w:rFonts w:ascii="Times New Roman" w:hAnsi="Times New Roman" w:cs="Times New Roman"/>
          <w:sz w:val="18"/>
          <w:szCs w:val="18"/>
        </w:rPr>
      </w:pPr>
      <w:r w:rsidRPr="00363A7A">
        <w:rPr>
          <w:rFonts w:ascii="Times New Roman" w:hAnsi="Times New Roman" w:cs="Times New Roman"/>
          <w:sz w:val="18"/>
          <w:szCs w:val="18"/>
        </w:rPr>
        <w:t xml:space="preserve">  </w:t>
      </w:r>
      <w:r w:rsidR="00B10317" w:rsidRPr="00363A7A">
        <w:rPr>
          <w:rFonts w:ascii="Times New Roman" w:hAnsi="Times New Roman" w:cs="Times New Roman"/>
          <w:sz w:val="18"/>
          <w:szCs w:val="18"/>
        </w:rPr>
        <w:t xml:space="preserve">Source: </w:t>
      </w:r>
      <w:proofErr w:type="spellStart"/>
      <w:r w:rsidR="00B10317" w:rsidRPr="00363A7A">
        <w:rPr>
          <w:rFonts w:ascii="Times New Roman" w:hAnsi="Times New Roman" w:cs="Times New Roman"/>
          <w:sz w:val="18"/>
          <w:szCs w:val="18"/>
        </w:rPr>
        <w:t>MoS</w:t>
      </w:r>
      <w:r w:rsidR="00414A03">
        <w:rPr>
          <w:rFonts w:ascii="Times New Roman" w:hAnsi="Times New Roman" w:cs="Times New Roman"/>
          <w:sz w:val="18"/>
          <w:szCs w:val="18"/>
        </w:rPr>
        <w:t>A</w:t>
      </w:r>
      <w:proofErr w:type="spellEnd"/>
      <w:r w:rsidR="00B10317" w:rsidRPr="00363A7A">
        <w:rPr>
          <w:rFonts w:ascii="Times New Roman" w:hAnsi="Times New Roman" w:cs="Times New Roman"/>
          <w:sz w:val="18"/>
          <w:szCs w:val="18"/>
        </w:rPr>
        <w:t>, 2014</w:t>
      </w:r>
    </w:p>
    <w:p w:rsidR="00B10317" w:rsidRDefault="00B10317" w:rsidP="00A44EE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Number of fostered children in 2014 was 8 children compared to 7 children in 2010 and 4 children in 2009 and 2011 and one child in 2012.</w:t>
      </w:r>
    </w:p>
    <w:p w:rsidR="00A44EEF" w:rsidRPr="003122A3" w:rsidRDefault="00A44EEF" w:rsidP="00A44EEF">
      <w:pPr>
        <w:spacing w:after="0" w:line="240" w:lineRule="auto"/>
        <w:jc w:val="both"/>
        <w:rPr>
          <w:rFonts w:ascii="Times New Roman" w:hAnsi="Times New Roman" w:cs="Times New Roman"/>
          <w:sz w:val="24"/>
          <w:szCs w:val="24"/>
          <w:rtl/>
        </w:rPr>
      </w:pPr>
    </w:p>
    <w:p w:rsidR="00B10317" w:rsidRPr="003122A3" w:rsidRDefault="00B10317" w:rsidP="008E657F">
      <w:pPr>
        <w:jc w:val="both"/>
        <w:rPr>
          <w:rFonts w:ascii="Times New Roman" w:eastAsia="Calibri" w:hAnsi="Times New Roman" w:cs="Times New Roman"/>
          <w:b/>
          <w:bCs/>
          <w:sz w:val="24"/>
          <w:szCs w:val="24"/>
        </w:rPr>
      </w:pPr>
      <w:r w:rsidRPr="003122A3">
        <w:rPr>
          <w:rFonts w:ascii="Times New Roman" w:eastAsia="Calibri" w:hAnsi="Times New Roman" w:cs="Times New Roman"/>
          <w:b/>
          <w:bCs/>
          <w:sz w:val="24"/>
          <w:szCs w:val="24"/>
        </w:rPr>
        <w:t>Data on Foster Families</w:t>
      </w:r>
    </w:p>
    <w:p w:rsidR="00B10317" w:rsidRPr="003122A3" w:rsidRDefault="00B10317" w:rsidP="00A44EEF">
      <w:pPr>
        <w:pStyle w:val="ListParagraph"/>
        <w:numPr>
          <w:ilvl w:val="0"/>
          <w:numId w:val="4"/>
        </w:numPr>
        <w:spacing w:after="0" w:line="240" w:lineRule="auto"/>
        <w:ind w:left="357" w:hanging="357"/>
        <w:jc w:val="both"/>
        <w:rPr>
          <w:rFonts w:ascii="Times New Roman" w:eastAsia="Calibri" w:hAnsi="Times New Roman" w:cs="Times New Roman"/>
          <w:sz w:val="24"/>
          <w:szCs w:val="24"/>
        </w:rPr>
      </w:pPr>
      <w:r w:rsidRPr="003122A3">
        <w:rPr>
          <w:rFonts w:ascii="Times New Roman" w:eastAsia="Calibri" w:hAnsi="Times New Roman" w:cs="Times New Roman"/>
          <w:sz w:val="24"/>
          <w:szCs w:val="24"/>
        </w:rPr>
        <w:t>Number of applicants 13 families</w:t>
      </w:r>
    </w:p>
    <w:p w:rsidR="00B10317" w:rsidRPr="003122A3" w:rsidRDefault="00B10317" w:rsidP="00A44EEF">
      <w:pPr>
        <w:pStyle w:val="ListParagraph"/>
        <w:numPr>
          <w:ilvl w:val="0"/>
          <w:numId w:val="4"/>
        </w:numPr>
        <w:spacing w:after="0" w:line="240" w:lineRule="auto"/>
        <w:ind w:left="357" w:hanging="357"/>
        <w:jc w:val="both"/>
        <w:rPr>
          <w:rFonts w:ascii="Times New Roman" w:eastAsia="Calibri" w:hAnsi="Times New Roman" w:cs="Times New Roman"/>
          <w:sz w:val="24"/>
          <w:szCs w:val="24"/>
        </w:rPr>
      </w:pPr>
      <w:r w:rsidRPr="003122A3">
        <w:rPr>
          <w:rFonts w:ascii="Times New Roman" w:eastAsia="Calibri" w:hAnsi="Times New Roman" w:cs="Times New Roman"/>
          <w:sz w:val="24"/>
          <w:szCs w:val="24"/>
        </w:rPr>
        <w:t>Number of approved applications 7 families</w:t>
      </w:r>
    </w:p>
    <w:p w:rsidR="00B10317" w:rsidRPr="003122A3" w:rsidRDefault="00B10317" w:rsidP="00A44EEF">
      <w:pPr>
        <w:pStyle w:val="ListParagraph"/>
        <w:numPr>
          <w:ilvl w:val="0"/>
          <w:numId w:val="4"/>
        </w:numPr>
        <w:spacing w:after="0" w:line="240" w:lineRule="auto"/>
        <w:ind w:left="357" w:hanging="357"/>
        <w:jc w:val="both"/>
        <w:rPr>
          <w:rFonts w:ascii="Times New Roman" w:eastAsia="Calibri" w:hAnsi="Times New Roman" w:cs="Times New Roman"/>
          <w:sz w:val="24"/>
          <w:szCs w:val="24"/>
        </w:rPr>
      </w:pPr>
      <w:r w:rsidRPr="003122A3">
        <w:rPr>
          <w:rFonts w:ascii="Times New Roman" w:eastAsia="Calibri" w:hAnsi="Times New Roman" w:cs="Times New Roman"/>
          <w:sz w:val="24"/>
          <w:szCs w:val="24"/>
        </w:rPr>
        <w:t>No of rejected applications 2 families</w:t>
      </w:r>
    </w:p>
    <w:p w:rsidR="00B10317" w:rsidRPr="003122A3" w:rsidRDefault="00B10317" w:rsidP="00A44EEF">
      <w:pPr>
        <w:pStyle w:val="ListParagraph"/>
        <w:numPr>
          <w:ilvl w:val="0"/>
          <w:numId w:val="4"/>
        </w:numPr>
        <w:spacing w:after="0" w:line="240" w:lineRule="auto"/>
        <w:ind w:left="357" w:hanging="357"/>
        <w:jc w:val="both"/>
        <w:rPr>
          <w:rFonts w:ascii="Times New Roman" w:eastAsia="Calibri" w:hAnsi="Times New Roman" w:cs="Times New Roman"/>
          <w:sz w:val="24"/>
          <w:szCs w:val="24"/>
        </w:rPr>
      </w:pPr>
      <w:r w:rsidRPr="003122A3">
        <w:rPr>
          <w:rFonts w:ascii="Times New Roman" w:eastAsia="Calibri" w:hAnsi="Times New Roman" w:cs="Times New Roman"/>
          <w:sz w:val="24"/>
          <w:szCs w:val="24"/>
        </w:rPr>
        <w:t>Number of fostering families 7 families</w:t>
      </w:r>
    </w:p>
    <w:p w:rsidR="00B10317" w:rsidRPr="003122A3" w:rsidRDefault="00B10317" w:rsidP="00A44EEF">
      <w:pPr>
        <w:pStyle w:val="ListParagraph"/>
        <w:numPr>
          <w:ilvl w:val="0"/>
          <w:numId w:val="4"/>
        </w:numPr>
        <w:spacing w:after="0" w:line="240" w:lineRule="auto"/>
        <w:ind w:left="357" w:hanging="357"/>
        <w:jc w:val="both"/>
        <w:rPr>
          <w:rFonts w:ascii="Times New Roman" w:eastAsia="Calibri" w:hAnsi="Times New Roman" w:cs="Times New Roman"/>
          <w:sz w:val="24"/>
          <w:szCs w:val="24"/>
        </w:rPr>
      </w:pPr>
      <w:r w:rsidRPr="003122A3">
        <w:rPr>
          <w:rFonts w:ascii="Times New Roman" w:eastAsia="Calibri" w:hAnsi="Times New Roman" w:cs="Times New Roman"/>
          <w:sz w:val="24"/>
          <w:szCs w:val="24"/>
        </w:rPr>
        <w:t>Foster families per locality (5 in urban centers) (2 in rural areas)</w:t>
      </w:r>
    </w:p>
    <w:p w:rsidR="00B10317" w:rsidRPr="003122A3" w:rsidRDefault="00B10317" w:rsidP="00A44EEF">
      <w:pPr>
        <w:pStyle w:val="ListParagraph"/>
        <w:numPr>
          <w:ilvl w:val="0"/>
          <w:numId w:val="4"/>
        </w:numPr>
        <w:spacing w:after="0" w:line="240" w:lineRule="auto"/>
        <w:ind w:left="357" w:hanging="357"/>
        <w:jc w:val="both"/>
        <w:rPr>
          <w:rFonts w:ascii="Times New Roman" w:eastAsia="Calibri" w:hAnsi="Times New Roman" w:cs="Times New Roman"/>
          <w:sz w:val="24"/>
          <w:szCs w:val="24"/>
        </w:rPr>
      </w:pPr>
      <w:r w:rsidRPr="003122A3">
        <w:rPr>
          <w:rFonts w:ascii="Times New Roman" w:eastAsia="Calibri" w:hAnsi="Times New Roman" w:cs="Times New Roman"/>
          <w:sz w:val="24"/>
          <w:szCs w:val="24"/>
        </w:rPr>
        <w:t>No of fostered children is 8 knowing that one family fostered twins</w:t>
      </w:r>
    </w:p>
    <w:p w:rsidR="00B10317" w:rsidRDefault="00B10317" w:rsidP="00A44EEF">
      <w:pPr>
        <w:pStyle w:val="ListParagraph"/>
        <w:numPr>
          <w:ilvl w:val="0"/>
          <w:numId w:val="4"/>
        </w:numPr>
        <w:spacing w:after="0" w:line="240" w:lineRule="auto"/>
        <w:ind w:left="357" w:hanging="357"/>
        <w:jc w:val="both"/>
        <w:rPr>
          <w:rFonts w:ascii="Times New Roman" w:eastAsia="Calibri" w:hAnsi="Times New Roman" w:cs="Times New Roman"/>
          <w:sz w:val="24"/>
          <w:szCs w:val="24"/>
        </w:rPr>
      </w:pPr>
      <w:r w:rsidRPr="003122A3">
        <w:rPr>
          <w:rFonts w:ascii="Times New Roman" w:eastAsia="Calibri" w:hAnsi="Times New Roman" w:cs="Times New Roman"/>
          <w:sz w:val="24"/>
          <w:szCs w:val="24"/>
        </w:rPr>
        <w:t>Sex of fostered children: 6 male and 2 female.</w:t>
      </w:r>
    </w:p>
    <w:p w:rsidR="00A44EEF" w:rsidRPr="003122A3" w:rsidRDefault="00A44EEF" w:rsidP="00A44EEF">
      <w:pPr>
        <w:pStyle w:val="ListParagraph"/>
        <w:spacing w:after="0" w:line="240" w:lineRule="auto"/>
        <w:ind w:left="357"/>
        <w:jc w:val="both"/>
        <w:rPr>
          <w:rFonts w:ascii="Times New Roman" w:eastAsia="Calibri" w:hAnsi="Times New Roman" w:cs="Times New Roman"/>
          <w:sz w:val="24"/>
          <w:szCs w:val="24"/>
        </w:rPr>
      </w:pPr>
    </w:p>
    <w:p w:rsidR="001C28FC" w:rsidRPr="003122A3" w:rsidRDefault="00B10317" w:rsidP="00677FAD">
      <w:pPr>
        <w:pStyle w:val="Heading2"/>
        <w:ind w:firstLineChars="0" w:firstLine="0"/>
        <w:jc w:val="left"/>
        <w:rPr>
          <w:rFonts w:ascii="Times New Roman" w:hAnsi="Times New Roman" w:cs="Times New Roman"/>
          <w:sz w:val="24"/>
          <w:szCs w:val="24"/>
        </w:rPr>
      </w:pPr>
      <w:bookmarkStart w:id="97" w:name="_Toc420245006"/>
      <w:r w:rsidRPr="003122A3">
        <w:rPr>
          <w:rFonts w:ascii="Times New Roman" w:hAnsi="Times New Roman" w:cs="Times New Roman"/>
          <w:sz w:val="24"/>
          <w:szCs w:val="24"/>
        </w:rPr>
        <w:t>6.7 Children with Disabilities</w:t>
      </w:r>
      <w:bookmarkEnd w:id="97"/>
    </w:p>
    <w:p w:rsidR="007277B1" w:rsidRPr="00A44EEF" w:rsidRDefault="007277B1" w:rsidP="00A44EEF">
      <w:pPr>
        <w:pStyle w:val="ListParagraph"/>
        <w:spacing w:after="0" w:line="240" w:lineRule="auto"/>
        <w:ind w:left="357"/>
        <w:jc w:val="both"/>
        <w:rPr>
          <w:rFonts w:ascii="Times New Roman" w:eastAsia="Calibri" w:hAnsi="Times New Roman" w:cs="Times New Roman"/>
          <w:sz w:val="24"/>
          <w:szCs w:val="24"/>
        </w:rPr>
      </w:pPr>
    </w:p>
    <w:p w:rsidR="00B10317" w:rsidRDefault="00B10317" w:rsidP="00A44EE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Palestinian laws and the Palestinian constitution emphasize the principle of non-discrimination and address the subject of disability. The Palestinian Ministry of Health provides the same health services to children with disabilities as to other children and provides medical checkups and preventive tests prior to marriage and for the child after birth, including thyroid gland tests and PKU, and follows up on children whose test results are problematic. It does not provide rehabilitation services for children with disabilities, although it sometimes provides support through the school health program with assistive devices for children with disabilities. Further amendments are required to the Public Health Law to specify children with disabilities and to include more preventive examinations within the health system. The Ministry of Education and Higher Education intends to promote inclusive education that would integrate children with disabilities (</w:t>
      </w:r>
      <w:r w:rsidR="00CB4AD0" w:rsidRPr="003122A3">
        <w:rPr>
          <w:rFonts w:ascii="Times New Roman" w:hAnsi="Times New Roman" w:cs="Times New Roman"/>
          <w:sz w:val="24"/>
          <w:szCs w:val="24"/>
        </w:rPr>
        <w:t>mobility</w:t>
      </w:r>
      <w:r w:rsidRPr="003122A3">
        <w:rPr>
          <w:rFonts w:ascii="Times New Roman" w:hAnsi="Times New Roman" w:cs="Times New Roman"/>
          <w:sz w:val="24"/>
          <w:szCs w:val="24"/>
        </w:rPr>
        <w:t xml:space="preserve">, hearing/auditory, visual and simple and moderate mental disabilities), where possible into the regular education system, with adaptations to the school environment as needed and the provision of some assistive devices. The Ministry of Social Affairs is also willing to provide social services (in-kind and cash, assistance, assistive devices, and some physical rehabilitation of homes, etc.) for people with disabilities, including children. It is also developing a disability card system and a case management system for children with disabilities. </w:t>
      </w:r>
    </w:p>
    <w:p w:rsidR="00A44EEF" w:rsidRPr="003122A3" w:rsidRDefault="00A44EEF" w:rsidP="00A44EEF">
      <w:pPr>
        <w:spacing w:after="0" w:line="240" w:lineRule="auto"/>
        <w:jc w:val="both"/>
        <w:rPr>
          <w:rFonts w:ascii="Times New Roman" w:hAnsi="Times New Roman" w:cs="Times New Roman"/>
          <w:sz w:val="24"/>
          <w:szCs w:val="24"/>
        </w:rPr>
      </w:pPr>
    </w:p>
    <w:p w:rsidR="00B10317" w:rsidRDefault="00B10317" w:rsidP="00A44EE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2011 survey on individuals with disabilities indicated that 1.5% of children aged 0-17 years were disabled, with a higher incidence among males (1.8%)  than females (1.3%).</w:t>
      </w:r>
      <w:r w:rsidRPr="003122A3">
        <w:rPr>
          <w:rStyle w:val="FootnoteReference"/>
          <w:rFonts w:ascii="Times New Roman" w:hAnsi="Times New Roman" w:cs="Times New Roman"/>
          <w:sz w:val="24"/>
          <w:szCs w:val="24"/>
        </w:rPr>
        <w:footnoteReference w:id="54"/>
      </w:r>
      <w:r w:rsidRPr="003122A3">
        <w:rPr>
          <w:rFonts w:ascii="Times New Roman" w:hAnsi="Times New Roman" w:cs="Times New Roman"/>
          <w:sz w:val="24"/>
          <w:szCs w:val="24"/>
        </w:rPr>
        <w:t xml:space="preserve"> The most common disabilities were physical/ m</w:t>
      </w:r>
      <w:r w:rsidR="00CB4AD0" w:rsidRPr="003122A3">
        <w:rPr>
          <w:rFonts w:ascii="Times New Roman" w:hAnsi="Times New Roman" w:cs="Times New Roman"/>
          <w:sz w:val="24"/>
          <w:szCs w:val="24"/>
        </w:rPr>
        <w:t>obility</w:t>
      </w:r>
      <w:r w:rsidRPr="003122A3">
        <w:rPr>
          <w:rFonts w:ascii="Times New Roman" w:hAnsi="Times New Roman" w:cs="Times New Roman"/>
          <w:sz w:val="24"/>
          <w:szCs w:val="24"/>
        </w:rPr>
        <w:t xml:space="preserve">, followed by slow learning, </w:t>
      </w:r>
      <w:r w:rsidR="00CB4AD0" w:rsidRPr="003122A3">
        <w:rPr>
          <w:rFonts w:ascii="Times New Roman" w:hAnsi="Times New Roman" w:cs="Times New Roman"/>
          <w:sz w:val="24"/>
          <w:szCs w:val="24"/>
        </w:rPr>
        <w:t>remembering</w:t>
      </w:r>
      <w:r w:rsidRPr="003122A3">
        <w:rPr>
          <w:rFonts w:ascii="Times New Roman" w:hAnsi="Times New Roman" w:cs="Times New Roman"/>
          <w:sz w:val="24"/>
          <w:szCs w:val="24"/>
        </w:rPr>
        <w:t xml:space="preserve"> and concentration. The survey indicated that 37.6% of children with disabilities aged 15 years and over had never enrolled in education; 53.1% were illiterate and 33.8% had dropped out of school. This indicates that at least 40% of children who suffer from disabilities were not enrolled in the education system, and there is a need to address this issue and provide the necessary services to facilitate their inclusion within the educational system. In general there has been an increase in the number of students with disabilities enrolled in the formal education system over recent years, which may be due to an increase in awareness among both service providers and society. There were no specific procedures or mechanisms for the diagnosis of children who suffer from mild mental disabilities or learning difficulties.</w:t>
      </w:r>
      <w:r w:rsidRPr="003122A3">
        <w:rPr>
          <w:rStyle w:val="FootnoteReference"/>
          <w:rFonts w:ascii="Times New Roman" w:hAnsi="Times New Roman" w:cs="Times New Roman"/>
          <w:sz w:val="24"/>
          <w:szCs w:val="24"/>
        </w:rPr>
        <w:footnoteReference w:id="55"/>
      </w:r>
      <w:r w:rsidRPr="003122A3">
        <w:rPr>
          <w:rFonts w:ascii="Times New Roman" w:hAnsi="Times New Roman" w:cs="Times New Roman"/>
          <w:sz w:val="24"/>
          <w:szCs w:val="24"/>
        </w:rPr>
        <w:t xml:space="preserve"> It is possible that the number of children enrolled in the formal education system who suffer from total audio or visual disabilities is relatively low due to the availability of specialized centers and schools for these students.</w:t>
      </w:r>
    </w:p>
    <w:p w:rsidR="00A44EEF" w:rsidRPr="003122A3" w:rsidRDefault="00A44EEF" w:rsidP="00A44EEF">
      <w:pPr>
        <w:spacing w:after="0" w:line="240" w:lineRule="auto"/>
        <w:jc w:val="both"/>
        <w:rPr>
          <w:rFonts w:ascii="Times New Roman" w:hAnsi="Times New Roman" w:cs="Times New Roman"/>
          <w:sz w:val="24"/>
          <w:szCs w:val="24"/>
        </w:rPr>
      </w:pPr>
    </w:p>
    <w:p w:rsidR="00B10317" w:rsidRPr="003122A3" w:rsidRDefault="00B10317"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 xml:space="preserve">Children with Disabilities in Ministry of Social Affairs Centers and Licensed Community Centers </w:t>
      </w:r>
    </w:p>
    <w:p w:rsidR="00B10317" w:rsidRPr="003122A3" w:rsidRDefault="00B10317" w:rsidP="00A44EE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Ministry of Social Affairs has dedicated considerable effort to support children with disabilities through the development of programs, policies and regulations such as the Disability Law, the amended Palestinian Child Law, the disability card and the ministerial policy paper for the case management of children with disabilities. To operate this system, the current reality should be analyzed to determine the number of qualified staff required and to develop an action plan to develop and maintain human resources and capacities in this area. Currently, there are nine programs targeting children with disabilities within the Ministry, and nine policies and legislative documents.</w:t>
      </w:r>
    </w:p>
    <w:p w:rsidR="00B10317" w:rsidRPr="003122A3" w:rsidRDefault="00B10317" w:rsidP="008E657F">
      <w:pPr>
        <w:jc w:val="both"/>
        <w:rPr>
          <w:rFonts w:ascii="Times New Roman" w:hAnsi="Times New Roman" w:cs="Times New Roman"/>
          <w:sz w:val="24"/>
          <w:szCs w:val="24"/>
        </w:rPr>
      </w:pPr>
      <w:r w:rsidRPr="003122A3">
        <w:rPr>
          <w:rFonts w:ascii="Times New Roman" w:hAnsi="Times New Roman" w:cs="Times New Roman"/>
          <w:sz w:val="24"/>
          <w:szCs w:val="24"/>
        </w:rPr>
        <w:t xml:space="preserve">The Ministry of Education collects data on children with disabilities in licensed community centers as shown in the following table: </w:t>
      </w:r>
    </w:p>
    <w:p w:rsidR="006117AD" w:rsidRPr="003122A3" w:rsidRDefault="006117AD" w:rsidP="00677A69">
      <w:pPr>
        <w:pStyle w:val="Caption"/>
        <w:keepNext/>
        <w:bidi w:val="0"/>
        <w:rPr>
          <w:sz w:val="22"/>
          <w:szCs w:val="22"/>
        </w:rPr>
      </w:pPr>
      <w:bookmarkStart w:id="98" w:name="_Toc420269308"/>
      <w:r w:rsidRPr="003122A3">
        <w:rPr>
          <w:sz w:val="22"/>
          <w:szCs w:val="22"/>
        </w:rPr>
        <w:t>Table</w:t>
      </w:r>
      <w:r w:rsidR="007277B1"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10</w:t>
      </w:r>
      <w:r w:rsidR="008F57C8" w:rsidRPr="003122A3">
        <w:rPr>
          <w:sz w:val="22"/>
          <w:szCs w:val="22"/>
          <w:rtl/>
        </w:rPr>
        <w:fldChar w:fldCharType="end"/>
      </w:r>
      <w:r w:rsidRPr="003122A3">
        <w:rPr>
          <w:sz w:val="22"/>
          <w:szCs w:val="22"/>
        </w:rPr>
        <w:t>: Number of Children with Disabilities in Community Centers Licensed by the Ministry of Education 2012</w:t>
      </w:r>
      <w:bookmarkEnd w:id="98"/>
    </w:p>
    <w:tbl>
      <w:tblPr>
        <w:tblStyle w:val="LightShading-Accent11"/>
        <w:tblW w:w="9205" w:type="dxa"/>
        <w:jc w:val="center"/>
        <w:tblInd w:w="-450" w:type="dxa"/>
        <w:tblLook w:val="04A0"/>
      </w:tblPr>
      <w:tblGrid>
        <w:gridCol w:w="1976"/>
        <w:gridCol w:w="1134"/>
        <w:gridCol w:w="1276"/>
        <w:gridCol w:w="1842"/>
        <w:gridCol w:w="1843"/>
        <w:gridCol w:w="1134"/>
      </w:tblGrid>
      <w:tr w:rsidR="00B10317" w:rsidRPr="003122A3" w:rsidTr="00B12AA1">
        <w:trPr>
          <w:cnfStyle w:val="100000000000"/>
          <w:trHeight w:val="454"/>
          <w:jc w:val="center"/>
        </w:trPr>
        <w:tc>
          <w:tcPr>
            <w:cnfStyle w:val="001000000000"/>
            <w:tcW w:w="1976" w:type="dxa"/>
            <w:vMerge w:val="restart"/>
            <w:tcBorders>
              <w:top w:val="single" w:sz="4" w:space="0" w:color="auto"/>
              <w:left w:val="single" w:sz="4" w:space="0" w:color="auto"/>
              <w:bottom w:val="nil"/>
              <w:right w:val="single" w:sz="4" w:space="0" w:color="4F81BD"/>
            </w:tcBorders>
            <w:vAlign w:val="center"/>
          </w:tcPr>
          <w:p w:rsidR="00B10317" w:rsidRPr="003122A3" w:rsidRDefault="00CB4AD0" w:rsidP="00CB4AD0">
            <w:pPr>
              <w:pStyle w:val="Heading3"/>
              <w:bidi w:val="0"/>
              <w:spacing w:line="276" w:lineRule="auto"/>
              <w:jc w:val="center"/>
              <w:outlineLvl w:val="2"/>
              <w:rPr>
                <w:rFonts w:cs="Times New Roman"/>
                <w:color w:val="auto"/>
              </w:rPr>
            </w:pPr>
            <w:r w:rsidRPr="003122A3">
              <w:rPr>
                <w:rFonts w:cs="Times New Roman"/>
                <w:color w:val="auto"/>
              </w:rPr>
              <w:t>Sex</w:t>
            </w:r>
          </w:p>
        </w:tc>
        <w:tc>
          <w:tcPr>
            <w:tcW w:w="2410" w:type="dxa"/>
            <w:gridSpan w:val="2"/>
            <w:tcBorders>
              <w:top w:val="single" w:sz="4" w:space="0" w:color="auto"/>
              <w:left w:val="single" w:sz="4" w:space="0" w:color="4F81BD"/>
              <w:bottom w:val="single" w:sz="4" w:space="0" w:color="auto"/>
              <w:right w:val="single" w:sz="4" w:space="0" w:color="auto"/>
            </w:tcBorders>
          </w:tcPr>
          <w:p w:rsidR="00B10317" w:rsidRPr="003122A3" w:rsidRDefault="00B10317" w:rsidP="004A7115">
            <w:pPr>
              <w:pStyle w:val="Heading3"/>
              <w:bidi w:val="0"/>
              <w:spacing w:line="276" w:lineRule="auto"/>
              <w:jc w:val="center"/>
              <w:outlineLvl w:val="2"/>
              <w:cnfStyle w:val="100000000000"/>
              <w:rPr>
                <w:rFonts w:cs="Times New Roman"/>
                <w:color w:val="auto"/>
              </w:rPr>
            </w:pPr>
            <w:r w:rsidRPr="003122A3">
              <w:rPr>
                <w:rFonts w:cs="Times New Roman"/>
                <w:color w:val="auto"/>
              </w:rPr>
              <w:t>Visual disability</w:t>
            </w:r>
          </w:p>
        </w:tc>
        <w:tc>
          <w:tcPr>
            <w:tcW w:w="1842" w:type="dxa"/>
            <w:tcBorders>
              <w:top w:val="single" w:sz="4" w:space="0" w:color="auto"/>
              <w:left w:val="single" w:sz="4" w:space="0" w:color="auto"/>
              <w:bottom w:val="single" w:sz="4" w:space="0" w:color="auto"/>
              <w:right w:val="single" w:sz="4" w:space="0" w:color="auto"/>
            </w:tcBorders>
          </w:tcPr>
          <w:p w:rsidR="00B10317" w:rsidRPr="003122A3" w:rsidRDefault="00B10317" w:rsidP="004A7115">
            <w:pPr>
              <w:pStyle w:val="Heading3"/>
              <w:bidi w:val="0"/>
              <w:spacing w:line="276" w:lineRule="auto"/>
              <w:jc w:val="center"/>
              <w:outlineLvl w:val="2"/>
              <w:cnfStyle w:val="100000000000"/>
              <w:rPr>
                <w:rFonts w:cs="Times New Roman"/>
                <w:color w:val="auto"/>
              </w:rPr>
            </w:pPr>
            <w:r w:rsidRPr="003122A3">
              <w:rPr>
                <w:rFonts w:cs="Times New Roman"/>
                <w:color w:val="auto"/>
              </w:rPr>
              <w:t>Hearing disability</w:t>
            </w:r>
          </w:p>
        </w:tc>
        <w:tc>
          <w:tcPr>
            <w:tcW w:w="1843" w:type="dxa"/>
            <w:tcBorders>
              <w:top w:val="single" w:sz="4" w:space="0" w:color="auto"/>
              <w:left w:val="single" w:sz="4" w:space="0" w:color="auto"/>
              <w:bottom w:val="single" w:sz="4" w:space="0" w:color="auto"/>
              <w:right w:val="single" w:sz="4" w:space="0" w:color="auto"/>
            </w:tcBorders>
          </w:tcPr>
          <w:p w:rsidR="00B10317" w:rsidRPr="003122A3" w:rsidRDefault="00B10317" w:rsidP="004A7115">
            <w:pPr>
              <w:pStyle w:val="Heading3"/>
              <w:bidi w:val="0"/>
              <w:spacing w:line="276" w:lineRule="auto"/>
              <w:jc w:val="center"/>
              <w:outlineLvl w:val="2"/>
              <w:cnfStyle w:val="100000000000"/>
              <w:rPr>
                <w:rFonts w:cs="Times New Roman"/>
                <w:color w:val="auto"/>
              </w:rPr>
            </w:pPr>
            <w:r w:rsidRPr="003122A3">
              <w:rPr>
                <w:rFonts w:cs="Times New Roman"/>
                <w:color w:val="auto"/>
              </w:rPr>
              <w:t>Mental disability</w:t>
            </w:r>
          </w:p>
        </w:tc>
        <w:tc>
          <w:tcPr>
            <w:tcW w:w="1134" w:type="dxa"/>
            <w:tcBorders>
              <w:top w:val="single" w:sz="4" w:space="0" w:color="auto"/>
              <w:left w:val="single" w:sz="4" w:space="0" w:color="auto"/>
              <w:bottom w:val="single" w:sz="4" w:space="0" w:color="auto"/>
              <w:right w:val="single" w:sz="4" w:space="0" w:color="auto"/>
            </w:tcBorders>
          </w:tcPr>
          <w:p w:rsidR="00B10317" w:rsidRPr="003122A3" w:rsidRDefault="00B10317" w:rsidP="004A7115">
            <w:pPr>
              <w:pStyle w:val="Heading3"/>
              <w:bidi w:val="0"/>
              <w:spacing w:line="276" w:lineRule="auto"/>
              <w:jc w:val="center"/>
              <w:outlineLvl w:val="2"/>
              <w:cnfStyle w:val="100000000000"/>
              <w:rPr>
                <w:rFonts w:cs="Times New Roman"/>
                <w:color w:val="auto"/>
              </w:rPr>
            </w:pPr>
            <w:r w:rsidRPr="003122A3">
              <w:rPr>
                <w:rFonts w:cs="Times New Roman"/>
                <w:color w:val="auto"/>
              </w:rPr>
              <w:t>Total</w:t>
            </w:r>
          </w:p>
        </w:tc>
      </w:tr>
      <w:tr w:rsidR="00B10317" w:rsidRPr="003122A3" w:rsidTr="00B12AA1">
        <w:trPr>
          <w:cnfStyle w:val="000000100000"/>
          <w:trHeight w:val="454"/>
          <w:jc w:val="center"/>
        </w:trPr>
        <w:tc>
          <w:tcPr>
            <w:cnfStyle w:val="001000000000"/>
            <w:tcW w:w="1976" w:type="dxa"/>
            <w:vMerge/>
            <w:tcBorders>
              <w:top w:val="single" w:sz="4" w:space="0" w:color="auto"/>
              <w:left w:val="single" w:sz="4" w:space="0" w:color="auto"/>
              <w:bottom w:val="single" w:sz="4" w:space="0" w:color="auto"/>
              <w:right w:val="single" w:sz="4" w:space="0" w:color="4F81BD"/>
            </w:tcBorders>
          </w:tcPr>
          <w:p w:rsidR="00B10317" w:rsidRPr="003122A3" w:rsidRDefault="00B10317" w:rsidP="007277B1">
            <w:pPr>
              <w:pStyle w:val="Heading3"/>
              <w:bidi w:val="0"/>
              <w:spacing w:line="276" w:lineRule="auto"/>
              <w:outlineLvl w:val="2"/>
              <w:rPr>
                <w:rFonts w:cs="Times New Roman"/>
                <w:color w:val="auto"/>
              </w:rPr>
            </w:pPr>
          </w:p>
        </w:tc>
        <w:tc>
          <w:tcPr>
            <w:tcW w:w="1134" w:type="dxa"/>
            <w:tcBorders>
              <w:top w:val="single" w:sz="4" w:space="0" w:color="auto"/>
              <w:left w:val="single" w:sz="4" w:space="0" w:color="4F81BD"/>
            </w:tcBorders>
          </w:tcPr>
          <w:p w:rsidR="00B10317" w:rsidRPr="003122A3" w:rsidRDefault="00B10317" w:rsidP="007277B1">
            <w:pPr>
              <w:pStyle w:val="Heading3"/>
              <w:bidi w:val="0"/>
              <w:spacing w:line="276" w:lineRule="auto"/>
              <w:outlineLvl w:val="2"/>
              <w:cnfStyle w:val="000000100000"/>
              <w:rPr>
                <w:rFonts w:cs="Times New Roman"/>
                <w:color w:val="auto"/>
              </w:rPr>
            </w:pPr>
            <w:r w:rsidRPr="003122A3">
              <w:rPr>
                <w:rFonts w:cs="Times New Roman"/>
                <w:color w:val="auto"/>
              </w:rPr>
              <w:t>Partial</w:t>
            </w:r>
          </w:p>
        </w:tc>
        <w:tc>
          <w:tcPr>
            <w:tcW w:w="1276" w:type="dxa"/>
            <w:tcBorders>
              <w:top w:val="single" w:sz="4" w:space="0" w:color="auto"/>
            </w:tcBorders>
          </w:tcPr>
          <w:p w:rsidR="00B10317" w:rsidRPr="003122A3" w:rsidRDefault="00B10317" w:rsidP="007277B1">
            <w:pPr>
              <w:pStyle w:val="Heading3"/>
              <w:bidi w:val="0"/>
              <w:spacing w:line="276" w:lineRule="auto"/>
              <w:outlineLvl w:val="2"/>
              <w:cnfStyle w:val="000000100000"/>
              <w:rPr>
                <w:rFonts w:cs="Times New Roman"/>
                <w:color w:val="auto"/>
              </w:rPr>
            </w:pPr>
            <w:r w:rsidRPr="003122A3">
              <w:rPr>
                <w:rFonts w:cs="Times New Roman"/>
                <w:color w:val="auto"/>
              </w:rPr>
              <w:t>Total</w:t>
            </w:r>
          </w:p>
        </w:tc>
        <w:tc>
          <w:tcPr>
            <w:tcW w:w="1842" w:type="dxa"/>
            <w:tcBorders>
              <w:top w:val="single" w:sz="4" w:space="0" w:color="auto"/>
            </w:tcBorders>
          </w:tcPr>
          <w:p w:rsidR="00B10317" w:rsidRPr="003122A3" w:rsidRDefault="00B10317" w:rsidP="007277B1">
            <w:pPr>
              <w:pStyle w:val="Heading3"/>
              <w:bidi w:val="0"/>
              <w:spacing w:line="276" w:lineRule="auto"/>
              <w:outlineLvl w:val="2"/>
              <w:cnfStyle w:val="000000100000"/>
              <w:rPr>
                <w:rFonts w:cs="Times New Roman"/>
                <w:color w:val="auto"/>
              </w:rPr>
            </w:pPr>
          </w:p>
        </w:tc>
        <w:tc>
          <w:tcPr>
            <w:tcW w:w="1843" w:type="dxa"/>
            <w:tcBorders>
              <w:top w:val="single" w:sz="4" w:space="0" w:color="auto"/>
            </w:tcBorders>
          </w:tcPr>
          <w:p w:rsidR="00B10317" w:rsidRPr="003122A3" w:rsidRDefault="00B10317" w:rsidP="007277B1">
            <w:pPr>
              <w:pStyle w:val="Heading3"/>
              <w:bidi w:val="0"/>
              <w:spacing w:line="276" w:lineRule="auto"/>
              <w:outlineLvl w:val="2"/>
              <w:cnfStyle w:val="000000100000"/>
              <w:rPr>
                <w:rFonts w:cs="Times New Roman"/>
                <w:color w:val="auto"/>
              </w:rPr>
            </w:pPr>
          </w:p>
        </w:tc>
        <w:tc>
          <w:tcPr>
            <w:tcW w:w="1134" w:type="dxa"/>
            <w:tcBorders>
              <w:top w:val="single" w:sz="4" w:space="0" w:color="auto"/>
              <w:right w:val="single" w:sz="4" w:space="0" w:color="auto"/>
            </w:tcBorders>
          </w:tcPr>
          <w:p w:rsidR="00B10317" w:rsidRPr="003122A3" w:rsidRDefault="00B10317" w:rsidP="007277B1">
            <w:pPr>
              <w:pStyle w:val="Heading3"/>
              <w:bidi w:val="0"/>
              <w:spacing w:line="276" w:lineRule="auto"/>
              <w:outlineLvl w:val="2"/>
              <w:cnfStyle w:val="000000100000"/>
              <w:rPr>
                <w:rFonts w:cs="Times New Roman"/>
                <w:color w:val="auto"/>
              </w:rPr>
            </w:pPr>
          </w:p>
        </w:tc>
      </w:tr>
      <w:tr w:rsidR="00B10317" w:rsidRPr="003122A3" w:rsidTr="00B12AA1">
        <w:trPr>
          <w:trHeight w:val="454"/>
          <w:jc w:val="center"/>
        </w:trPr>
        <w:tc>
          <w:tcPr>
            <w:cnfStyle w:val="001000000000"/>
            <w:tcW w:w="1976" w:type="dxa"/>
            <w:tcBorders>
              <w:top w:val="single" w:sz="4" w:space="0" w:color="auto"/>
              <w:left w:val="single" w:sz="4" w:space="0" w:color="auto"/>
              <w:bottom w:val="nil"/>
              <w:right w:val="single" w:sz="4" w:space="0" w:color="auto"/>
            </w:tcBorders>
          </w:tcPr>
          <w:p w:rsidR="00B10317" w:rsidRPr="003122A3" w:rsidRDefault="00B10317" w:rsidP="007277B1">
            <w:pPr>
              <w:pStyle w:val="Heading3"/>
              <w:bidi w:val="0"/>
              <w:spacing w:line="276" w:lineRule="auto"/>
              <w:outlineLvl w:val="2"/>
              <w:rPr>
                <w:rFonts w:cs="Times New Roman"/>
                <w:color w:val="auto"/>
              </w:rPr>
            </w:pPr>
            <w:r w:rsidRPr="003122A3">
              <w:rPr>
                <w:rFonts w:cs="Times New Roman"/>
                <w:color w:val="auto"/>
              </w:rPr>
              <w:t>Male</w:t>
            </w:r>
          </w:p>
        </w:tc>
        <w:tc>
          <w:tcPr>
            <w:tcW w:w="1134" w:type="dxa"/>
            <w:tcBorders>
              <w:left w:val="single" w:sz="4" w:space="0" w:color="auto"/>
            </w:tcBorders>
          </w:tcPr>
          <w:p w:rsidR="00B10317" w:rsidRPr="00833BD7" w:rsidRDefault="00B10317" w:rsidP="007277B1">
            <w:pPr>
              <w:pStyle w:val="Heading3"/>
              <w:bidi w:val="0"/>
              <w:spacing w:line="276" w:lineRule="auto"/>
              <w:jc w:val="center"/>
              <w:outlineLvl w:val="2"/>
              <w:cnfStyle w:val="000000000000"/>
              <w:rPr>
                <w:rFonts w:cs="Times New Roman"/>
                <w:b w:val="0"/>
                <w:bCs w:val="0"/>
                <w:color w:val="auto"/>
              </w:rPr>
            </w:pPr>
            <w:r w:rsidRPr="00833BD7">
              <w:rPr>
                <w:rFonts w:cs="Times New Roman"/>
                <w:b w:val="0"/>
                <w:bCs w:val="0"/>
                <w:color w:val="auto"/>
              </w:rPr>
              <w:t>83</w:t>
            </w:r>
          </w:p>
        </w:tc>
        <w:tc>
          <w:tcPr>
            <w:tcW w:w="1276" w:type="dxa"/>
          </w:tcPr>
          <w:p w:rsidR="00B10317" w:rsidRPr="00833BD7" w:rsidRDefault="00B10317" w:rsidP="007277B1">
            <w:pPr>
              <w:pStyle w:val="Heading3"/>
              <w:bidi w:val="0"/>
              <w:spacing w:line="276" w:lineRule="auto"/>
              <w:jc w:val="center"/>
              <w:outlineLvl w:val="2"/>
              <w:cnfStyle w:val="000000000000"/>
              <w:rPr>
                <w:rFonts w:cs="Times New Roman"/>
                <w:b w:val="0"/>
                <w:bCs w:val="0"/>
                <w:color w:val="auto"/>
              </w:rPr>
            </w:pPr>
            <w:r w:rsidRPr="00833BD7">
              <w:rPr>
                <w:rFonts w:cs="Times New Roman"/>
                <w:b w:val="0"/>
                <w:bCs w:val="0"/>
                <w:color w:val="auto"/>
              </w:rPr>
              <w:t>41</w:t>
            </w:r>
          </w:p>
        </w:tc>
        <w:tc>
          <w:tcPr>
            <w:tcW w:w="1842" w:type="dxa"/>
          </w:tcPr>
          <w:p w:rsidR="00B10317" w:rsidRPr="00833BD7" w:rsidRDefault="00B10317" w:rsidP="007277B1">
            <w:pPr>
              <w:pStyle w:val="Heading3"/>
              <w:bidi w:val="0"/>
              <w:spacing w:line="276" w:lineRule="auto"/>
              <w:jc w:val="center"/>
              <w:outlineLvl w:val="2"/>
              <w:cnfStyle w:val="000000000000"/>
              <w:rPr>
                <w:rFonts w:cs="Times New Roman"/>
                <w:b w:val="0"/>
                <w:bCs w:val="0"/>
                <w:color w:val="auto"/>
              </w:rPr>
            </w:pPr>
            <w:r w:rsidRPr="00833BD7">
              <w:rPr>
                <w:rFonts w:cs="Times New Roman"/>
                <w:b w:val="0"/>
                <w:bCs w:val="0"/>
                <w:color w:val="auto"/>
              </w:rPr>
              <w:t>295</w:t>
            </w:r>
          </w:p>
        </w:tc>
        <w:tc>
          <w:tcPr>
            <w:tcW w:w="1843" w:type="dxa"/>
          </w:tcPr>
          <w:p w:rsidR="00B10317" w:rsidRPr="00833BD7" w:rsidRDefault="00B10317" w:rsidP="007277B1">
            <w:pPr>
              <w:pStyle w:val="Heading3"/>
              <w:bidi w:val="0"/>
              <w:spacing w:line="276" w:lineRule="auto"/>
              <w:jc w:val="center"/>
              <w:outlineLvl w:val="2"/>
              <w:cnfStyle w:val="000000000000"/>
              <w:rPr>
                <w:rFonts w:cs="Times New Roman"/>
                <w:b w:val="0"/>
                <w:bCs w:val="0"/>
                <w:color w:val="auto"/>
              </w:rPr>
            </w:pPr>
            <w:r w:rsidRPr="00833BD7">
              <w:rPr>
                <w:rFonts w:cs="Times New Roman"/>
                <w:b w:val="0"/>
                <w:bCs w:val="0"/>
                <w:color w:val="auto"/>
              </w:rPr>
              <w:t>848</w:t>
            </w:r>
          </w:p>
        </w:tc>
        <w:tc>
          <w:tcPr>
            <w:tcW w:w="1134" w:type="dxa"/>
            <w:tcBorders>
              <w:right w:val="single" w:sz="4" w:space="0" w:color="auto"/>
            </w:tcBorders>
          </w:tcPr>
          <w:p w:rsidR="00B10317" w:rsidRPr="00833BD7" w:rsidRDefault="00B10317" w:rsidP="007277B1">
            <w:pPr>
              <w:pStyle w:val="Heading3"/>
              <w:bidi w:val="0"/>
              <w:spacing w:line="276" w:lineRule="auto"/>
              <w:jc w:val="center"/>
              <w:outlineLvl w:val="2"/>
              <w:cnfStyle w:val="000000000000"/>
              <w:rPr>
                <w:rFonts w:cs="Times New Roman"/>
                <w:b w:val="0"/>
                <w:bCs w:val="0"/>
                <w:color w:val="auto"/>
              </w:rPr>
            </w:pPr>
            <w:r w:rsidRPr="00833BD7">
              <w:rPr>
                <w:rFonts w:cs="Times New Roman"/>
                <w:b w:val="0"/>
                <w:bCs w:val="0"/>
                <w:color w:val="auto"/>
              </w:rPr>
              <w:t>1267</w:t>
            </w:r>
          </w:p>
        </w:tc>
      </w:tr>
      <w:tr w:rsidR="00B10317" w:rsidRPr="003122A3" w:rsidTr="00B12AA1">
        <w:trPr>
          <w:cnfStyle w:val="000000100000"/>
          <w:trHeight w:val="454"/>
          <w:jc w:val="center"/>
        </w:trPr>
        <w:tc>
          <w:tcPr>
            <w:cnfStyle w:val="001000000000"/>
            <w:tcW w:w="1976" w:type="dxa"/>
            <w:tcBorders>
              <w:top w:val="nil"/>
              <w:left w:val="single" w:sz="4" w:space="0" w:color="auto"/>
              <w:bottom w:val="nil"/>
              <w:right w:val="single" w:sz="4" w:space="0" w:color="auto"/>
            </w:tcBorders>
          </w:tcPr>
          <w:p w:rsidR="00B10317" w:rsidRPr="003122A3" w:rsidRDefault="00B10317" w:rsidP="007277B1">
            <w:pPr>
              <w:pStyle w:val="Heading3"/>
              <w:bidi w:val="0"/>
              <w:spacing w:line="276" w:lineRule="auto"/>
              <w:outlineLvl w:val="2"/>
              <w:rPr>
                <w:rFonts w:cs="Times New Roman"/>
                <w:color w:val="auto"/>
              </w:rPr>
            </w:pPr>
            <w:r w:rsidRPr="003122A3">
              <w:rPr>
                <w:rFonts w:cs="Times New Roman"/>
                <w:color w:val="auto"/>
              </w:rPr>
              <w:t>Female</w:t>
            </w:r>
          </w:p>
        </w:tc>
        <w:tc>
          <w:tcPr>
            <w:tcW w:w="1134" w:type="dxa"/>
            <w:tcBorders>
              <w:left w:val="single" w:sz="4" w:space="0" w:color="auto"/>
            </w:tcBorders>
          </w:tcPr>
          <w:p w:rsidR="00B10317" w:rsidRPr="00833BD7" w:rsidRDefault="00B10317" w:rsidP="007277B1">
            <w:pPr>
              <w:pStyle w:val="Heading3"/>
              <w:bidi w:val="0"/>
              <w:spacing w:line="276" w:lineRule="auto"/>
              <w:jc w:val="center"/>
              <w:outlineLvl w:val="2"/>
              <w:cnfStyle w:val="000000100000"/>
              <w:rPr>
                <w:rFonts w:cs="Times New Roman"/>
                <w:b w:val="0"/>
                <w:bCs w:val="0"/>
                <w:color w:val="auto"/>
              </w:rPr>
            </w:pPr>
            <w:r w:rsidRPr="00833BD7">
              <w:rPr>
                <w:rFonts w:cs="Times New Roman"/>
                <w:b w:val="0"/>
                <w:bCs w:val="0"/>
                <w:color w:val="auto"/>
              </w:rPr>
              <w:t>77</w:t>
            </w:r>
          </w:p>
        </w:tc>
        <w:tc>
          <w:tcPr>
            <w:tcW w:w="1276" w:type="dxa"/>
          </w:tcPr>
          <w:p w:rsidR="00B10317" w:rsidRPr="00833BD7" w:rsidRDefault="00B10317" w:rsidP="007277B1">
            <w:pPr>
              <w:pStyle w:val="Heading3"/>
              <w:bidi w:val="0"/>
              <w:spacing w:line="276" w:lineRule="auto"/>
              <w:jc w:val="center"/>
              <w:outlineLvl w:val="2"/>
              <w:cnfStyle w:val="000000100000"/>
              <w:rPr>
                <w:rFonts w:cs="Times New Roman"/>
                <w:b w:val="0"/>
                <w:bCs w:val="0"/>
                <w:color w:val="auto"/>
              </w:rPr>
            </w:pPr>
            <w:r w:rsidRPr="00833BD7">
              <w:rPr>
                <w:rFonts w:cs="Times New Roman"/>
                <w:b w:val="0"/>
                <w:bCs w:val="0"/>
                <w:color w:val="auto"/>
              </w:rPr>
              <w:t>43</w:t>
            </w:r>
          </w:p>
        </w:tc>
        <w:tc>
          <w:tcPr>
            <w:tcW w:w="1842" w:type="dxa"/>
          </w:tcPr>
          <w:p w:rsidR="00B10317" w:rsidRPr="00833BD7" w:rsidRDefault="00B10317" w:rsidP="007277B1">
            <w:pPr>
              <w:pStyle w:val="Heading3"/>
              <w:bidi w:val="0"/>
              <w:spacing w:line="276" w:lineRule="auto"/>
              <w:jc w:val="center"/>
              <w:outlineLvl w:val="2"/>
              <w:cnfStyle w:val="000000100000"/>
              <w:rPr>
                <w:rFonts w:cs="Times New Roman"/>
                <w:b w:val="0"/>
                <w:bCs w:val="0"/>
                <w:color w:val="auto"/>
              </w:rPr>
            </w:pPr>
            <w:r w:rsidRPr="00833BD7">
              <w:rPr>
                <w:rFonts w:cs="Times New Roman"/>
                <w:b w:val="0"/>
                <w:bCs w:val="0"/>
                <w:color w:val="auto"/>
              </w:rPr>
              <w:t>269</w:t>
            </w:r>
          </w:p>
        </w:tc>
        <w:tc>
          <w:tcPr>
            <w:tcW w:w="1843" w:type="dxa"/>
          </w:tcPr>
          <w:p w:rsidR="00B10317" w:rsidRPr="00833BD7" w:rsidRDefault="00B10317" w:rsidP="007277B1">
            <w:pPr>
              <w:pStyle w:val="Heading3"/>
              <w:bidi w:val="0"/>
              <w:spacing w:line="276" w:lineRule="auto"/>
              <w:jc w:val="center"/>
              <w:outlineLvl w:val="2"/>
              <w:cnfStyle w:val="000000100000"/>
              <w:rPr>
                <w:rFonts w:cs="Times New Roman"/>
                <w:b w:val="0"/>
                <w:bCs w:val="0"/>
                <w:color w:val="auto"/>
              </w:rPr>
            </w:pPr>
            <w:r w:rsidRPr="00833BD7">
              <w:rPr>
                <w:rFonts w:cs="Times New Roman"/>
                <w:b w:val="0"/>
                <w:bCs w:val="0"/>
                <w:color w:val="auto"/>
              </w:rPr>
              <w:t>440</w:t>
            </w:r>
          </w:p>
        </w:tc>
        <w:tc>
          <w:tcPr>
            <w:tcW w:w="1134" w:type="dxa"/>
            <w:tcBorders>
              <w:right w:val="single" w:sz="4" w:space="0" w:color="auto"/>
            </w:tcBorders>
          </w:tcPr>
          <w:p w:rsidR="00B10317" w:rsidRPr="00833BD7" w:rsidRDefault="00B10317" w:rsidP="007277B1">
            <w:pPr>
              <w:pStyle w:val="Heading3"/>
              <w:bidi w:val="0"/>
              <w:spacing w:line="276" w:lineRule="auto"/>
              <w:jc w:val="center"/>
              <w:outlineLvl w:val="2"/>
              <w:cnfStyle w:val="000000100000"/>
              <w:rPr>
                <w:rFonts w:cs="Times New Roman"/>
                <w:b w:val="0"/>
                <w:bCs w:val="0"/>
                <w:color w:val="auto"/>
              </w:rPr>
            </w:pPr>
            <w:r w:rsidRPr="00833BD7">
              <w:rPr>
                <w:rFonts w:cs="Times New Roman"/>
                <w:b w:val="0"/>
                <w:bCs w:val="0"/>
                <w:color w:val="auto"/>
              </w:rPr>
              <w:t>829</w:t>
            </w:r>
          </w:p>
        </w:tc>
      </w:tr>
      <w:tr w:rsidR="00B10317" w:rsidRPr="003122A3" w:rsidTr="00B12AA1">
        <w:trPr>
          <w:trHeight w:val="454"/>
          <w:jc w:val="center"/>
        </w:trPr>
        <w:tc>
          <w:tcPr>
            <w:cnfStyle w:val="001000000000"/>
            <w:tcW w:w="1976" w:type="dxa"/>
            <w:tcBorders>
              <w:top w:val="nil"/>
              <w:left w:val="single" w:sz="4" w:space="0" w:color="auto"/>
              <w:bottom w:val="single" w:sz="4" w:space="0" w:color="auto"/>
              <w:right w:val="single" w:sz="4" w:space="0" w:color="auto"/>
            </w:tcBorders>
          </w:tcPr>
          <w:p w:rsidR="00B10317" w:rsidRPr="003122A3" w:rsidRDefault="00B10317" w:rsidP="007277B1">
            <w:pPr>
              <w:pStyle w:val="Heading3"/>
              <w:bidi w:val="0"/>
              <w:spacing w:line="276" w:lineRule="auto"/>
              <w:outlineLvl w:val="2"/>
              <w:rPr>
                <w:rFonts w:cs="Times New Roman"/>
                <w:color w:val="auto"/>
              </w:rPr>
            </w:pPr>
            <w:r w:rsidRPr="003122A3">
              <w:rPr>
                <w:rFonts w:cs="Times New Roman"/>
                <w:color w:val="auto"/>
              </w:rPr>
              <w:t>Total</w:t>
            </w:r>
          </w:p>
        </w:tc>
        <w:tc>
          <w:tcPr>
            <w:tcW w:w="1134" w:type="dxa"/>
            <w:tcBorders>
              <w:left w:val="single" w:sz="4" w:space="0" w:color="auto"/>
              <w:bottom w:val="single" w:sz="4" w:space="0" w:color="auto"/>
            </w:tcBorders>
          </w:tcPr>
          <w:p w:rsidR="00B10317" w:rsidRPr="00833BD7" w:rsidRDefault="00B10317" w:rsidP="007277B1">
            <w:pPr>
              <w:pStyle w:val="Heading3"/>
              <w:bidi w:val="0"/>
              <w:spacing w:line="276" w:lineRule="auto"/>
              <w:jc w:val="center"/>
              <w:outlineLvl w:val="2"/>
              <w:cnfStyle w:val="000000000000"/>
              <w:rPr>
                <w:rFonts w:cs="Times New Roman"/>
                <w:color w:val="auto"/>
              </w:rPr>
            </w:pPr>
            <w:r w:rsidRPr="00833BD7">
              <w:rPr>
                <w:rFonts w:cs="Times New Roman"/>
                <w:color w:val="auto"/>
              </w:rPr>
              <w:t>160</w:t>
            </w:r>
          </w:p>
        </w:tc>
        <w:tc>
          <w:tcPr>
            <w:tcW w:w="1276" w:type="dxa"/>
            <w:tcBorders>
              <w:bottom w:val="single" w:sz="4" w:space="0" w:color="auto"/>
            </w:tcBorders>
          </w:tcPr>
          <w:p w:rsidR="00B10317" w:rsidRPr="00833BD7" w:rsidRDefault="00B10317" w:rsidP="007277B1">
            <w:pPr>
              <w:pStyle w:val="Heading3"/>
              <w:bidi w:val="0"/>
              <w:spacing w:line="276" w:lineRule="auto"/>
              <w:jc w:val="center"/>
              <w:outlineLvl w:val="2"/>
              <w:cnfStyle w:val="000000000000"/>
              <w:rPr>
                <w:rFonts w:cs="Times New Roman"/>
                <w:color w:val="auto"/>
              </w:rPr>
            </w:pPr>
            <w:r w:rsidRPr="00833BD7">
              <w:rPr>
                <w:rFonts w:cs="Times New Roman"/>
                <w:color w:val="auto"/>
              </w:rPr>
              <w:t>84</w:t>
            </w:r>
          </w:p>
        </w:tc>
        <w:tc>
          <w:tcPr>
            <w:tcW w:w="1842" w:type="dxa"/>
            <w:tcBorders>
              <w:bottom w:val="single" w:sz="4" w:space="0" w:color="auto"/>
            </w:tcBorders>
          </w:tcPr>
          <w:p w:rsidR="00B10317" w:rsidRPr="00833BD7" w:rsidRDefault="00B10317" w:rsidP="007277B1">
            <w:pPr>
              <w:pStyle w:val="Heading3"/>
              <w:bidi w:val="0"/>
              <w:spacing w:line="276" w:lineRule="auto"/>
              <w:jc w:val="center"/>
              <w:outlineLvl w:val="2"/>
              <w:cnfStyle w:val="000000000000"/>
              <w:rPr>
                <w:rFonts w:cs="Times New Roman"/>
                <w:color w:val="auto"/>
              </w:rPr>
            </w:pPr>
            <w:r w:rsidRPr="00833BD7">
              <w:rPr>
                <w:rFonts w:cs="Times New Roman"/>
                <w:color w:val="auto"/>
              </w:rPr>
              <w:t>564</w:t>
            </w:r>
          </w:p>
        </w:tc>
        <w:tc>
          <w:tcPr>
            <w:tcW w:w="1843" w:type="dxa"/>
            <w:tcBorders>
              <w:bottom w:val="single" w:sz="4" w:space="0" w:color="auto"/>
            </w:tcBorders>
          </w:tcPr>
          <w:p w:rsidR="00B10317" w:rsidRPr="00833BD7" w:rsidRDefault="00B10317" w:rsidP="007277B1">
            <w:pPr>
              <w:pStyle w:val="Heading3"/>
              <w:bidi w:val="0"/>
              <w:spacing w:line="276" w:lineRule="auto"/>
              <w:jc w:val="center"/>
              <w:outlineLvl w:val="2"/>
              <w:cnfStyle w:val="000000000000"/>
              <w:rPr>
                <w:rFonts w:cs="Times New Roman"/>
                <w:color w:val="auto"/>
              </w:rPr>
            </w:pPr>
            <w:r w:rsidRPr="00833BD7">
              <w:rPr>
                <w:rFonts w:cs="Times New Roman"/>
                <w:color w:val="auto"/>
              </w:rPr>
              <w:t>1288</w:t>
            </w:r>
          </w:p>
        </w:tc>
        <w:tc>
          <w:tcPr>
            <w:tcW w:w="1134" w:type="dxa"/>
            <w:tcBorders>
              <w:bottom w:val="single" w:sz="4" w:space="0" w:color="auto"/>
              <w:right w:val="single" w:sz="4" w:space="0" w:color="auto"/>
            </w:tcBorders>
          </w:tcPr>
          <w:p w:rsidR="00B10317" w:rsidRPr="00833BD7" w:rsidRDefault="00B10317" w:rsidP="007277B1">
            <w:pPr>
              <w:pStyle w:val="Heading3"/>
              <w:bidi w:val="0"/>
              <w:spacing w:line="276" w:lineRule="auto"/>
              <w:jc w:val="center"/>
              <w:outlineLvl w:val="2"/>
              <w:cnfStyle w:val="000000000000"/>
              <w:rPr>
                <w:rFonts w:cs="Times New Roman"/>
                <w:color w:val="auto"/>
              </w:rPr>
            </w:pPr>
            <w:r w:rsidRPr="00833BD7">
              <w:rPr>
                <w:rFonts w:cs="Times New Roman"/>
                <w:color w:val="auto"/>
              </w:rPr>
              <w:t>2096</w:t>
            </w:r>
          </w:p>
        </w:tc>
      </w:tr>
    </w:tbl>
    <w:p w:rsidR="00B10317" w:rsidRPr="003122A3" w:rsidRDefault="00CB4AD0" w:rsidP="008E657F">
      <w:pPr>
        <w:jc w:val="both"/>
        <w:rPr>
          <w:rFonts w:ascii="Times New Roman" w:hAnsi="Times New Roman" w:cs="Times New Roman"/>
          <w:sz w:val="18"/>
          <w:szCs w:val="18"/>
        </w:rPr>
      </w:pPr>
      <w:r w:rsidRPr="003122A3">
        <w:rPr>
          <w:rFonts w:ascii="Times New Roman" w:hAnsi="Times New Roman" w:cs="Times New Roman"/>
          <w:sz w:val="18"/>
          <w:szCs w:val="18"/>
        </w:rPr>
        <w:t xml:space="preserve">          </w:t>
      </w:r>
      <w:r w:rsidR="00B10317" w:rsidRPr="003122A3">
        <w:rPr>
          <w:rFonts w:ascii="Times New Roman" w:hAnsi="Times New Roman" w:cs="Times New Roman"/>
          <w:sz w:val="18"/>
          <w:szCs w:val="18"/>
        </w:rPr>
        <w:t>Source: General Administration for educational counseling - Inclusive Education Department, July 2013.</w:t>
      </w:r>
    </w:p>
    <w:p w:rsidR="005B4D77" w:rsidRPr="003122A3" w:rsidRDefault="001D013D" w:rsidP="008E657F">
      <w:pPr>
        <w:jc w:val="both"/>
        <w:rPr>
          <w:rFonts w:ascii="Times New Roman" w:hAnsi="Times New Roman" w:cs="Times New Roman"/>
          <w:b/>
          <w:bCs/>
          <w:sz w:val="20"/>
          <w:szCs w:val="20"/>
        </w:rPr>
      </w:pPr>
      <w:r w:rsidRPr="003122A3">
        <w:rPr>
          <w:rFonts w:ascii="Times New Roman" w:hAnsi="Times New Roman" w:cs="Times New Roman"/>
          <w:b/>
          <w:bCs/>
          <w:sz w:val="24"/>
          <w:szCs w:val="24"/>
        </w:rPr>
        <w:t>Distribution of Disabilities in West Bank Directorates for the Academic Year 2011/2012</w:t>
      </w:r>
    </w:p>
    <w:p w:rsidR="006B0006" w:rsidRDefault="006B0006" w:rsidP="00833BD7">
      <w:pPr>
        <w:jc w:val="both"/>
        <w:rPr>
          <w:rFonts w:ascii="Times New Roman" w:hAnsi="Times New Roman" w:cs="Times New Roman"/>
          <w:sz w:val="24"/>
          <w:szCs w:val="24"/>
        </w:rPr>
      </w:pPr>
      <w:r w:rsidRPr="003122A3">
        <w:rPr>
          <w:rFonts w:ascii="Times New Roman" w:hAnsi="Times New Roman" w:cs="Times New Roman"/>
          <w:sz w:val="24"/>
          <w:szCs w:val="24"/>
        </w:rPr>
        <w:t xml:space="preserve">The Ministry of Education and Higher Education established the Department of Special Education and Inclusive Education in 1997 to serve the needs of children with disabilities. However, the education system is not yet equipped to receive children with severe mental disabilities. The disability survey indicated that 23,825 children in the 6-17 age group had disabilities (15,780 children in the West Bank). Of these, 5,019 were enrolled in schools in public schools in the West Bank, 2,096  in private schools and 163 attended centers run by the Ministry of Social Affairs. </w:t>
      </w:r>
      <w:r w:rsidR="00A91E3A">
        <w:rPr>
          <w:rFonts w:ascii="Times New Roman" w:hAnsi="Times New Roman" w:cs="Times New Roman"/>
          <w:sz w:val="24"/>
          <w:szCs w:val="24"/>
        </w:rPr>
        <w:t>In Gaza Strip</w:t>
      </w:r>
      <w:r w:rsidRPr="003122A3">
        <w:rPr>
          <w:rFonts w:ascii="Times New Roman" w:hAnsi="Times New Roman" w:cs="Times New Roman"/>
          <w:sz w:val="24"/>
          <w:szCs w:val="24"/>
        </w:rPr>
        <w:t>, there were 8,045 children with disabilities who fell within the ages for compulsory education; 3,816 (47%) were enrolled in public schools. There is no unified national system for monitoring children in all other private and civil sector institutions</w:t>
      </w:r>
      <w:r w:rsidR="000A5D11" w:rsidRPr="003122A3">
        <w:rPr>
          <w:rFonts w:ascii="Times New Roman" w:hAnsi="Times New Roman" w:cs="Times New Roman"/>
          <w:sz w:val="24"/>
          <w:szCs w:val="24"/>
        </w:rPr>
        <w:t>.</w:t>
      </w:r>
    </w:p>
    <w:p w:rsidR="002D73AF" w:rsidRPr="003122A3" w:rsidRDefault="002D73AF" w:rsidP="00833BD7">
      <w:pPr>
        <w:jc w:val="both"/>
        <w:rPr>
          <w:rFonts w:ascii="Times New Roman" w:hAnsi="Times New Roman" w:cs="Times New Roman"/>
          <w:sz w:val="24"/>
          <w:szCs w:val="24"/>
        </w:rPr>
      </w:pPr>
    </w:p>
    <w:p w:rsidR="006117AD" w:rsidRPr="003122A3" w:rsidRDefault="006117AD" w:rsidP="00F545D0">
      <w:pPr>
        <w:pStyle w:val="Caption"/>
        <w:keepNext/>
        <w:bidi w:val="0"/>
        <w:rPr>
          <w:sz w:val="22"/>
          <w:szCs w:val="22"/>
        </w:rPr>
      </w:pPr>
      <w:bookmarkStart w:id="99" w:name="_Toc420269309"/>
      <w:r w:rsidRPr="003122A3">
        <w:rPr>
          <w:sz w:val="22"/>
          <w:szCs w:val="22"/>
        </w:rPr>
        <w:t>Table</w:t>
      </w:r>
      <w:r w:rsidR="007277B1"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11</w:t>
      </w:r>
      <w:r w:rsidR="008F57C8" w:rsidRPr="003122A3">
        <w:rPr>
          <w:sz w:val="22"/>
          <w:szCs w:val="22"/>
          <w:rtl/>
        </w:rPr>
        <w:fldChar w:fldCharType="end"/>
      </w:r>
      <w:r w:rsidRPr="003122A3">
        <w:rPr>
          <w:sz w:val="22"/>
          <w:szCs w:val="22"/>
        </w:rPr>
        <w:t xml:space="preserve">: Percentage Distribution of Children Aged 6-17 Years with Disabilities by Region and </w:t>
      </w:r>
      <w:r w:rsidR="00F545D0">
        <w:rPr>
          <w:sz w:val="22"/>
          <w:szCs w:val="22"/>
        </w:rPr>
        <w:t>Sex</w:t>
      </w:r>
      <w:r w:rsidRPr="003122A3">
        <w:rPr>
          <w:sz w:val="22"/>
          <w:szCs w:val="22"/>
        </w:rPr>
        <w:t>, 2011</w:t>
      </w:r>
      <w:bookmarkEnd w:id="99"/>
    </w:p>
    <w:tbl>
      <w:tblPr>
        <w:tblStyle w:val="LightShading-Accent11"/>
        <w:tblW w:w="9608" w:type="dxa"/>
        <w:jc w:val="center"/>
        <w:tblInd w:w="-453" w:type="dxa"/>
        <w:tblLook w:val="04A0"/>
      </w:tblPr>
      <w:tblGrid>
        <w:gridCol w:w="3061"/>
        <w:gridCol w:w="1134"/>
        <w:gridCol w:w="1275"/>
        <w:gridCol w:w="1418"/>
        <w:gridCol w:w="1417"/>
        <w:gridCol w:w="1303"/>
      </w:tblGrid>
      <w:tr w:rsidR="006B0006" w:rsidRPr="003122A3" w:rsidTr="004A7115">
        <w:trPr>
          <w:cnfStyle w:val="100000000000"/>
          <w:jc w:val="center"/>
        </w:trPr>
        <w:tc>
          <w:tcPr>
            <w:cnfStyle w:val="001000000000"/>
            <w:tcW w:w="3061" w:type="dxa"/>
            <w:vMerge w:val="restart"/>
            <w:tcBorders>
              <w:top w:val="single" w:sz="4" w:space="0" w:color="auto"/>
              <w:left w:val="single" w:sz="4" w:space="0" w:color="auto"/>
              <w:bottom w:val="single" w:sz="4" w:space="0" w:color="auto"/>
              <w:right w:val="single" w:sz="4" w:space="0" w:color="auto"/>
            </w:tcBorders>
          </w:tcPr>
          <w:p w:rsidR="006B0006" w:rsidRPr="003122A3" w:rsidRDefault="006B0006" w:rsidP="004A7115">
            <w:pPr>
              <w:spacing w:line="360" w:lineRule="auto"/>
              <w:jc w:val="center"/>
              <w:rPr>
                <w:rFonts w:ascii="Times New Roman" w:hAnsi="Times New Roman"/>
                <w:color w:val="auto"/>
                <w:sz w:val="20"/>
                <w:szCs w:val="20"/>
              </w:rPr>
            </w:pPr>
            <w:r w:rsidRPr="003122A3">
              <w:rPr>
                <w:rFonts w:ascii="Times New Roman" w:hAnsi="Times New Roman"/>
                <w:color w:val="auto"/>
                <w:sz w:val="20"/>
                <w:szCs w:val="20"/>
              </w:rPr>
              <w:t>Indicator</w:t>
            </w:r>
          </w:p>
        </w:tc>
        <w:tc>
          <w:tcPr>
            <w:tcW w:w="2409" w:type="dxa"/>
            <w:gridSpan w:val="2"/>
            <w:tcBorders>
              <w:top w:val="single" w:sz="4" w:space="0" w:color="auto"/>
              <w:left w:val="single" w:sz="4" w:space="0" w:color="auto"/>
              <w:bottom w:val="nil"/>
              <w:right w:val="single" w:sz="4" w:space="0" w:color="auto"/>
            </w:tcBorders>
          </w:tcPr>
          <w:p w:rsidR="006B0006" w:rsidRPr="003122A3" w:rsidRDefault="00F545D0" w:rsidP="00833BD7">
            <w:pPr>
              <w:spacing w:line="360" w:lineRule="auto"/>
              <w:jc w:val="center"/>
              <w:cnfStyle w:val="100000000000"/>
              <w:rPr>
                <w:rFonts w:ascii="Times New Roman" w:hAnsi="Times New Roman"/>
                <w:color w:val="auto"/>
                <w:sz w:val="20"/>
                <w:szCs w:val="20"/>
              </w:rPr>
            </w:pPr>
            <w:r>
              <w:rPr>
                <w:rFonts w:ascii="Times New Roman" w:hAnsi="Times New Roman"/>
                <w:color w:val="auto"/>
                <w:sz w:val="20"/>
                <w:szCs w:val="20"/>
              </w:rPr>
              <w:t>Sex</w:t>
            </w:r>
          </w:p>
        </w:tc>
        <w:tc>
          <w:tcPr>
            <w:tcW w:w="2835" w:type="dxa"/>
            <w:gridSpan w:val="2"/>
            <w:tcBorders>
              <w:top w:val="single" w:sz="4" w:space="0" w:color="auto"/>
              <w:left w:val="single" w:sz="4" w:space="0" w:color="auto"/>
              <w:bottom w:val="nil"/>
              <w:right w:val="single" w:sz="4" w:space="0" w:color="auto"/>
            </w:tcBorders>
          </w:tcPr>
          <w:p w:rsidR="006B0006" w:rsidRPr="003122A3" w:rsidRDefault="006B0006" w:rsidP="00833BD7">
            <w:pPr>
              <w:spacing w:line="360"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Region</w:t>
            </w:r>
          </w:p>
        </w:tc>
        <w:tc>
          <w:tcPr>
            <w:tcW w:w="1303" w:type="dxa"/>
            <w:vMerge w:val="restart"/>
            <w:tcBorders>
              <w:top w:val="single" w:sz="4" w:space="0" w:color="auto"/>
              <w:left w:val="single" w:sz="4" w:space="0" w:color="auto"/>
              <w:bottom w:val="single" w:sz="4" w:space="0" w:color="auto"/>
              <w:right w:val="single" w:sz="4" w:space="0" w:color="auto"/>
            </w:tcBorders>
          </w:tcPr>
          <w:p w:rsidR="006B0006" w:rsidRPr="003122A3" w:rsidRDefault="006B0006" w:rsidP="00821AE6">
            <w:pPr>
              <w:spacing w:line="360" w:lineRule="auto"/>
              <w:jc w:val="both"/>
              <w:cnfStyle w:val="100000000000"/>
              <w:rPr>
                <w:rFonts w:ascii="Times New Roman" w:hAnsi="Times New Roman"/>
                <w:color w:val="auto"/>
                <w:sz w:val="20"/>
                <w:szCs w:val="20"/>
              </w:rPr>
            </w:pPr>
            <w:r w:rsidRPr="003122A3">
              <w:rPr>
                <w:rFonts w:ascii="Times New Roman" w:hAnsi="Times New Roman"/>
                <w:color w:val="auto"/>
                <w:sz w:val="20"/>
                <w:szCs w:val="20"/>
              </w:rPr>
              <w:t>Palestine</w:t>
            </w:r>
          </w:p>
        </w:tc>
      </w:tr>
      <w:tr w:rsidR="006B0006" w:rsidRPr="003122A3" w:rsidTr="004A7115">
        <w:trPr>
          <w:cnfStyle w:val="000000100000"/>
          <w:jc w:val="center"/>
        </w:trPr>
        <w:tc>
          <w:tcPr>
            <w:cnfStyle w:val="001000000000"/>
            <w:tcW w:w="3061" w:type="dxa"/>
            <w:vMerge/>
            <w:tcBorders>
              <w:top w:val="single" w:sz="8" w:space="0" w:color="4F81BD"/>
              <w:left w:val="single" w:sz="4" w:space="0" w:color="auto"/>
              <w:bottom w:val="single" w:sz="4" w:space="0" w:color="auto"/>
              <w:right w:val="single" w:sz="4" w:space="0" w:color="auto"/>
            </w:tcBorders>
          </w:tcPr>
          <w:p w:rsidR="006B0006" w:rsidRPr="003122A3" w:rsidRDefault="006B0006" w:rsidP="00821AE6">
            <w:pPr>
              <w:spacing w:line="360" w:lineRule="auto"/>
              <w:jc w:val="both"/>
              <w:rPr>
                <w:rFonts w:ascii="Times New Roman" w:hAnsi="Times New Roman"/>
                <w:b w:val="0"/>
                <w:bCs w:val="0"/>
                <w:color w:val="auto"/>
                <w:sz w:val="20"/>
                <w:szCs w:val="20"/>
              </w:rPr>
            </w:pPr>
          </w:p>
        </w:tc>
        <w:tc>
          <w:tcPr>
            <w:tcW w:w="1134" w:type="dxa"/>
            <w:tcBorders>
              <w:top w:val="nil"/>
              <w:left w:val="single" w:sz="4" w:space="0" w:color="auto"/>
              <w:bottom w:val="single" w:sz="4" w:space="0" w:color="auto"/>
            </w:tcBorders>
          </w:tcPr>
          <w:p w:rsidR="006B0006" w:rsidRPr="003122A3" w:rsidRDefault="006B0006" w:rsidP="00821AE6">
            <w:pPr>
              <w:spacing w:line="360" w:lineRule="auto"/>
              <w:jc w:val="both"/>
              <w:cnfStyle w:val="000000100000"/>
              <w:rPr>
                <w:rFonts w:ascii="Times New Roman" w:hAnsi="Times New Roman"/>
                <w:color w:val="auto"/>
                <w:sz w:val="20"/>
                <w:szCs w:val="20"/>
              </w:rPr>
            </w:pPr>
            <w:r w:rsidRPr="003122A3">
              <w:rPr>
                <w:rFonts w:ascii="Times New Roman" w:hAnsi="Times New Roman"/>
                <w:color w:val="auto"/>
                <w:sz w:val="20"/>
                <w:szCs w:val="20"/>
              </w:rPr>
              <w:t>Male</w:t>
            </w:r>
          </w:p>
        </w:tc>
        <w:tc>
          <w:tcPr>
            <w:tcW w:w="1275" w:type="dxa"/>
            <w:tcBorders>
              <w:top w:val="nil"/>
              <w:bottom w:val="single" w:sz="4" w:space="0" w:color="auto"/>
              <w:right w:val="single" w:sz="4" w:space="0" w:color="auto"/>
            </w:tcBorders>
          </w:tcPr>
          <w:p w:rsidR="006B0006" w:rsidRPr="003122A3" w:rsidRDefault="006B0006" w:rsidP="00821AE6">
            <w:pPr>
              <w:spacing w:line="360" w:lineRule="auto"/>
              <w:jc w:val="both"/>
              <w:cnfStyle w:val="000000100000"/>
              <w:rPr>
                <w:rFonts w:ascii="Times New Roman" w:hAnsi="Times New Roman"/>
                <w:color w:val="auto"/>
                <w:sz w:val="20"/>
                <w:szCs w:val="20"/>
              </w:rPr>
            </w:pPr>
            <w:r w:rsidRPr="003122A3">
              <w:rPr>
                <w:rFonts w:ascii="Times New Roman" w:hAnsi="Times New Roman"/>
                <w:color w:val="auto"/>
                <w:sz w:val="20"/>
                <w:szCs w:val="20"/>
              </w:rPr>
              <w:t>Female</w:t>
            </w:r>
          </w:p>
        </w:tc>
        <w:tc>
          <w:tcPr>
            <w:tcW w:w="1418" w:type="dxa"/>
            <w:tcBorders>
              <w:top w:val="nil"/>
              <w:left w:val="single" w:sz="4" w:space="0" w:color="auto"/>
              <w:bottom w:val="single" w:sz="4" w:space="0" w:color="auto"/>
            </w:tcBorders>
          </w:tcPr>
          <w:p w:rsidR="006B0006" w:rsidRPr="003122A3" w:rsidRDefault="006B0006" w:rsidP="00821AE6">
            <w:pPr>
              <w:spacing w:line="360" w:lineRule="auto"/>
              <w:jc w:val="both"/>
              <w:cnfStyle w:val="000000100000"/>
              <w:rPr>
                <w:rFonts w:ascii="Times New Roman" w:hAnsi="Times New Roman"/>
                <w:color w:val="auto"/>
                <w:sz w:val="20"/>
                <w:szCs w:val="20"/>
              </w:rPr>
            </w:pPr>
            <w:r w:rsidRPr="003122A3">
              <w:rPr>
                <w:rFonts w:ascii="Times New Roman" w:hAnsi="Times New Roman"/>
                <w:color w:val="auto"/>
                <w:sz w:val="20"/>
                <w:szCs w:val="20"/>
              </w:rPr>
              <w:t>West Bank</w:t>
            </w:r>
          </w:p>
        </w:tc>
        <w:tc>
          <w:tcPr>
            <w:tcW w:w="1417" w:type="dxa"/>
            <w:tcBorders>
              <w:top w:val="nil"/>
              <w:bottom w:val="single" w:sz="4" w:space="0" w:color="auto"/>
              <w:right w:val="single" w:sz="4" w:space="0" w:color="auto"/>
            </w:tcBorders>
          </w:tcPr>
          <w:p w:rsidR="006B0006" w:rsidRPr="003122A3" w:rsidRDefault="006B0006" w:rsidP="00821AE6">
            <w:pPr>
              <w:spacing w:line="360" w:lineRule="auto"/>
              <w:jc w:val="both"/>
              <w:cnfStyle w:val="000000100000"/>
              <w:rPr>
                <w:rFonts w:ascii="Times New Roman" w:hAnsi="Times New Roman"/>
                <w:color w:val="auto"/>
                <w:sz w:val="20"/>
                <w:szCs w:val="20"/>
              </w:rPr>
            </w:pPr>
            <w:r w:rsidRPr="003122A3">
              <w:rPr>
                <w:rFonts w:ascii="Times New Roman" w:hAnsi="Times New Roman"/>
                <w:color w:val="auto"/>
                <w:sz w:val="20"/>
                <w:szCs w:val="20"/>
              </w:rPr>
              <w:t>Gaza Strip</w:t>
            </w:r>
          </w:p>
        </w:tc>
        <w:tc>
          <w:tcPr>
            <w:tcW w:w="1303" w:type="dxa"/>
            <w:vMerge/>
            <w:tcBorders>
              <w:left w:val="single" w:sz="4" w:space="0" w:color="auto"/>
              <w:bottom w:val="single" w:sz="4" w:space="0" w:color="auto"/>
              <w:right w:val="single" w:sz="4" w:space="0" w:color="auto"/>
            </w:tcBorders>
          </w:tcPr>
          <w:p w:rsidR="006B0006" w:rsidRPr="003122A3" w:rsidRDefault="006B0006" w:rsidP="00821AE6">
            <w:pPr>
              <w:spacing w:line="360" w:lineRule="auto"/>
              <w:jc w:val="both"/>
              <w:cnfStyle w:val="000000100000"/>
              <w:rPr>
                <w:rFonts w:ascii="Times New Roman" w:hAnsi="Times New Roman"/>
                <w:b/>
                <w:bCs/>
                <w:color w:val="auto"/>
                <w:sz w:val="20"/>
                <w:szCs w:val="20"/>
              </w:rPr>
            </w:pPr>
          </w:p>
        </w:tc>
      </w:tr>
      <w:tr w:rsidR="006B0006" w:rsidRPr="003122A3" w:rsidTr="004A7115">
        <w:trPr>
          <w:jc w:val="center"/>
        </w:trPr>
        <w:tc>
          <w:tcPr>
            <w:cnfStyle w:val="001000000000"/>
            <w:tcW w:w="3061" w:type="dxa"/>
            <w:tcBorders>
              <w:top w:val="single" w:sz="4" w:space="0" w:color="auto"/>
              <w:left w:val="single" w:sz="4" w:space="0" w:color="auto"/>
              <w:bottom w:val="nil"/>
              <w:right w:val="single" w:sz="4" w:space="0" w:color="auto"/>
            </w:tcBorders>
          </w:tcPr>
          <w:p w:rsidR="006B0006" w:rsidRPr="00833BD7" w:rsidRDefault="006B0006" w:rsidP="00821AE6">
            <w:pPr>
              <w:spacing w:line="360" w:lineRule="auto"/>
              <w:jc w:val="both"/>
              <w:rPr>
                <w:rFonts w:ascii="Times New Roman" w:hAnsi="Times New Roman"/>
                <w:b w:val="0"/>
                <w:bCs w:val="0"/>
                <w:color w:val="auto"/>
                <w:sz w:val="20"/>
                <w:szCs w:val="20"/>
              </w:rPr>
            </w:pPr>
            <w:r w:rsidRPr="00833BD7">
              <w:rPr>
                <w:rFonts w:ascii="Times New Roman" w:hAnsi="Times New Roman"/>
                <w:b w:val="0"/>
                <w:bCs w:val="0"/>
                <w:color w:val="auto"/>
                <w:sz w:val="20"/>
                <w:szCs w:val="20"/>
              </w:rPr>
              <w:t>Percentage of children with disabilities (6-17 years)</w:t>
            </w:r>
          </w:p>
        </w:tc>
        <w:tc>
          <w:tcPr>
            <w:tcW w:w="1134" w:type="dxa"/>
            <w:tcBorders>
              <w:top w:val="single" w:sz="4" w:space="0" w:color="auto"/>
              <w:left w:val="single" w:sz="4" w:space="0" w:color="auto"/>
            </w:tcBorders>
          </w:tcPr>
          <w:p w:rsidR="006B0006" w:rsidRPr="003122A3" w:rsidRDefault="006B0006" w:rsidP="00821AE6">
            <w:pPr>
              <w:spacing w:line="360" w:lineRule="auto"/>
              <w:jc w:val="both"/>
              <w:cnfStyle w:val="000000000000"/>
              <w:rPr>
                <w:rFonts w:ascii="Times New Roman" w:hAnsi="Times New Roman"/>
                <w:color w:val="auto"/>
                <w:sz w:val="20"/>
                <w:szCs w:val="20"/>
              </w:rPr>
            </w:pPr>
            <w:r w:rsidRPr="003122A3">
              <w:rPr>
                <w:rFonts w:ascii="Times New Roman" w:hAnsi="Times New Roman"/>
                <w:color w:val="auto"/>
                <w:sz w:val="20"/>
                <w:szCs w:val="20"/>
              </w:rPr>
              <w:t>59.1</w:t>
            </w:r>
          </w:p>
        </w:tc>
        <w:tc>
          <w:tcPr>
            <w:tcW w:w="1275" w:type="dxa"/>
            <w:tcBorders>
              <w:top w:val="single" w:sz="4" w:space="0" w:color="auto"/>
            </w:tcBorders>
          </w:tcPr>
          <w:p w:rsidR="006B0006" w:rsidRPr="003122A3" w:rsidRDefault="006B0006" w:rsidP="00821AE6">
            <w:pPr>
              <w:spacing w:line="360" w:lineRule="auto"/>
              <w:jc w:val="both"/>
              <w:cnfStyle w:val="000000000000"/>
              <w:rPr>
                <w:rFonts w:ascii="Times New Roman" w:hAnsi="Times New Roman"/>
                <w:color w:val="auto"/>
                <w:sz w:val="20"/>
                <w:szCs w:val="20"/>
              </w:rPr>
            </w:pPr>
            <w:r w:rsidRPr="003122A3">
              <w:rPr>
                <w:rFonts w:ascii="Times New Roman" w:hAnsi="Times New Roman"/>
                <w:color w:val="auto"/>
                <w:sz w:val="20"/>
                <w:szCs w:val="20"/>
              </w:rPr>
              <w:t>40.9</w:t>
            </w:r>
          </w:p>
        </w:tc>
        <w:tc>
          <w:tcPr>
            <w:tcW w:w="1418" w:type="dxa"/>
            <w:tcBorders>
              <w:top w:val="single" w:sz="4" w:space="0" w:color="auto"/>
            </w:tcBorders>
          </w:tcPr>
          <w:p w:rsidR="006B0006" w:rsidRPr="003122A3" w:rsidRDefault="006B0006" w:rsidP="00821AE6">
            <w:pPr>
              <w:spacing w:line="360" w:lineRule="auto"/>
              <w:jc w:val="both"/>
              <w:cnfStyle w:val="000000000000"/>
              <w:rPr>
                <w:rFonts w:ascii="Times New Roman" w:hAnsi="Times New Roman"/>
                <w:color w:val="auto"/>
                <w:sz w:val="20"/>
                <w:szCs w:val="20"/>
              </w:rPr>
            </w:pPr>
            <w:r w:rsidRPr="003122A3">
              <w:rPr>
                <w:rFonts w:ascii="Times New Roman" w:hAnsi="Times New Roman"/>
                <w:color w:val="auto"/>
                <w:sz w:val="20"/>
                <w:szCs w:val="20"/>
              </w:rPr>
              <w:t>66.2</w:t>
            </w:r>
          </w:p>
        </w:tc>
        <w:tc>
          <w:tcPr>
            <w:tcW w:w="1417" w:type="dxa"/>
            <w:tcBorders>
              <w:top w:val="single" w:sz="4" w:space="0" w:color="auto"/>
              <w:right w:val="single" w:sz="4" w:space="0" w:color="auto"/>
            </w:tcBorders>
          </w:tcPr>
          <w:p w:rsidR="006B0006" w:rsidRPr="003122A3" w:rsidRDefault="006B0006" w:rsidP="00821AE6">
            <w:pPr>
              <w:spacing w:line="360" w:lineRule="auto"/>
              <w:jc w:val="both"/>
              <w:cnfStyle w:val="000000000000"/>
              <w:rPr>
                <w:rFonts w:ascii="Times New Roman" w:hAnsi="Times New Roman"/>
                <w:color w:val="auto"/>
                <w:sz w:val="20"/>
                <w:szCs w:val="20"/>
              </w:rPr>
            </w:pPr>
            <w:r w:rsidRPr="003122A3">
              <w:rPr>
                <w:rFonts w:ascii="Times New Roman" w:hAnsi="Times New Roman"/>
                <w:color w:val="auto"/>
                <w:sz w:val="20"/>
                <w:szCs w:val="20"/>
              </w:rPr>
              <w:t>33.8</w:t>
            </w:r>
          </w:p>
        </w:tc>
        <w:tc>
          <w:tcPr>
            <w:tcW w:w="1303" w:type="dxa"/>
            <w:tcBorders>
              <w:top w:val="single" w:sz="4" w:space="0" w:color="auto"/>
              <w:left w:val="single" w:sz="4" w:space="0" w:color="auto"/>
              <w:bottom w:val="nil"/>
              <w:right w:val="single" w:sz="4" w:space="0" w:color="auto"/>
            </w:tcBorders>
          </w:tcPr>
          <w:p w:rsidR="006B0006" w:rsidRPr="003122A3" w:rsidRDefault="006B0006" w:rsidP="00821AE6">
            <w:pPr>
              <w:spacing w:line="360" w:lineRule="auto"/>
              <w:jc w:val="both"/>
              <w:cnfStyle w:val="000000000000"/>
              <w:rPr>
                <w:rFonts w:ascii="Times New Roman" w:hAnsi="Times New Roman"/>
                <w:b/>
                <w:bCs/>
                <w:color w:val="auto"/>
                <w:sz w:val="20"/>
                <w:szCs w:val="20"/>
              </w:rPr>
            </w:pPr>
            <w:r w:rsidRPr="003122A3">
              <w:rPr>
                <w:rFonts w:ascii="Times New Roman" w:hAnsi="Times New Roman"/>
                <w:b/>
                <w:bCs/>
                <w:color w:val="auto"/>
                <w:sz w:val="20"/>
                <w:szCs w:val="20"/>
              </w:rPr>
              <w:t>100</w:t>
            </w:r>
          </w:p>
        </w:tc>
      </w:tr>
      <w:tr w:rsidR="006B0006" w:rsidRPr="003122A3" w:rsidTr="004A7115">
        <w:trPr>
          <w:cnfStyle w:val="000000100000"/>
          <w:jc w:val="center"/>
        </w:trPr>
        <w:tc>
          <w:tcPr>
            <w:cnfStyle w:val="001000000000"/>
            <w:tcW w:w="3061" w:type="dxa"/>
            <w:tcBorders>
              <w:top w:val="nil"/>
              <w:left w:val="single" w:sz="4" w:space="0" w:color="auto"/>
              <w:bottom w:val="single" w:sz="4" w:space="0" w:color="auto"/>
              <w:right w:val="single" w:sz="4" w:space="0" w:color="auto"/>
            </w:tcBorders>
          </w:tcPr>
          <w:p w:rsidR="006B0006" w:rsidRPr="00833BD7" w:rsidRDefault="006B0006" w:rsidP="00821AE6">
            <w:pPr>
              <w:spacing w:line="360" w:lineRule="auto"/>
              <w:jc w:val="both"/>
              <w:rPr>
                <w:rFonts w:ascii="Times New Roman" w:hAnsi="Times New Roman"/>
                <w:b w:val="0"/>
                <w:bCs w:val="0"/>
                <w:color w:val="auto"/>
                <w:sz w:val="20"/>
                <w:szCs w:val="20"/>
              </w:rPr>
            </w:pPr>
            <w:r w:rsidRPr="00833BD7">
              <w:rPr>
                <w:rFonts w:ascii="Times New Roman" w:hAnsi="Times New Roman"/>
                <w:b w:val="0"/>
                <w:bCs w:val="0"/>
                <w:color w:val="auto"/>
                <w:sz w:val="20"/>
                <w:szCs w:val="20"/>
              </w:rPr>
              <w:t>Number of children with disabilities (6-17 years)</w:t>
            </w:r>
          </w:p>
        </w:tc>
        <w:tc>
          <w:tcPr>
            <w:tcW w:w="1134" w:type="dxa"/>
            <w:tcBorders>
              <w:left w:val="single" w:sz="4" w:space="0" w:color="auto"/>
              <w:bottom w:val="single" w:sz="4" w:space="0" w:color="auto"/>
            </w:tcBorders>
          </w:tcPr>
          <w:p w:rsidR="006B0006" w:rsidRPr="003122A3" w:rsidRDefault="006B0006" w:rsidP="00821AE6">
            <w:pPr>
              <w:spacing w:line="360" w:lineRule="auto"/>
              <w:jc w:val="both"/>
              <w:cnfStyle w:val="000000100000"/>
              <w:rPr>
                <w:rFonts w:ascii="Times New Roman" w:hAnsi="Times New Roman"/>
                <w:color w:val="auto"/>
                <w:sz w:val="20"/>
                <w:szCs w:val="20"/>
              </w:rPr>
            </w:pPr>
            <w:r w:rsidRPr="003122A3">
              <w:rPr>
                <w:rFonts w:ascii="Times New Roman" w:hAnsi="Times New Roman"/>
                <w:color w:val="auto"/>
                <w:sz w:val="20"/>
                <w:szCs w:val="20"/>
              </w:rPr>
              <w:t>14,072</w:t>
            </w:r>
          </w:p>
        </w:tc>
        <w:tc>
          <w:tcPr>
            <w:tcW w:w="1275" w:type="dxa"/>
            <w:tcBorders>
              <w:bottom w:val="single" w:sz="4" w:space="0" w:color="auto"/>
            </w:tcBorders>
          </w:tcPr>
          <w:p w:rsidR="006B0006" w:rsidRPr="003122A3" w:rsidRDefault="006B0006" w:rsidP="00821AE6">
            <w:pPr>
              <w:spacing w:line="360" w:lineRule="auto"/>
              <w:jc w:val="both"/>
              <w:cnfStyle w:val="000000100000"/>
              <w:rPr>
                <w:rFonts w:ascii="Times New Roman" w:hAnsi="Times New Roman"/>
                <w:color w:val="auto"/>
                <w:sz w:val="20"/>
                <w:szCs w:val="20"/>
              </w:rPr>
            </w:pPr>
            <w:r w:rsidRPr="003122A3">
              <w:rPr>
                <w:rFonts w:ascii="Times New Roman" w:hAnsi="Times New Roman"/>
                <w:color w:val="auto"/>
                <w:sz w:val="20"/>
                <w:szCs w:val="20"/>
              </w:rPr>
              <w:t>9,753</w:t>
            </w:r>
          </w:p>
        </w:tc>
        <w:tc>
          <w:tcPr>
            <w:tcW w:w="1418" w:type="dxa"/>
            <w:tcBorders>
              <w:bottom w:val="single" w:sz="4" w:space="0" w:color="auto"/>
            </w:tcBorders>
          </w:tcPr>
          <w:p w:rsidR="006B0006" w:rsidRPr="003122A3" w:rsidRDefault="006B0006" w:rsidP="00821AE6">
            <w:pPr>
              <w:spacing w:line="360" w:lineRule="auto"/>
              <w:jc w:val="both"/>
              <w:cnfStyle w:val="000000100000"/>
              <w:rPr>
                <w:rFonts w:ascii="Times New Roman" w:hAnsi="Times New Roman"/>
                <w:color w:val="auto"/>
                <w:sz w:val="20"/>
                <w:szCs w:val="20"/>
              </w:rPr>
            </w:pPr>
            <w:r w:rsidRPr="003122A3">
              <w:rPr>
                <w:rFonts w:ascii="Times New Roman" w:hAnsi="Times New Roman"/>
                <w:color w:val="auto"/>
                <w:sz w:val="20"/>
                <w:szCs w:val="20"/>
              </w:rPr>
              <w:t>15,780</w:t>
            </w:r>
          </w:p>
        </w:tc>
        <w:tc>
          <w:tcPr>
            <w:tcW w:w="1417" w:type="dxa"/>
            <w:tcBorders>
              <w:bottom w:val="single" w:sz="4" w:space="0" w:color="auto"/>
              <w:right w:val="single" w:sz="4" w:space="0" w:color="auto"/>
            </w:tcBorders>
          </w:tcPr>
          <w:p w:rsidR="006B0006" w:rsidRPr="003122A3" w:rsidRDefault="006B0006" w:rsidP="00821AE6">
            <w:pPr>
              <w:spacing w:line="360" w:lineRule="auto"/>
              <w:jc w:val="both"/>
              <w:cnfStyle w:val="000000100000"/>
              <w:rPr>
                <w:rFonts w:ascii="Times New Roman" w:hAnsi="Times New Roman"/>
                <w:color w:val="auto"/>
                <w:sz w:val="20"/>
                <w:szCs w:val="20"/>
              </w:rPr>
            </w:pPr>
            <w:r w:rsidRPr="003122A3">
              <w:rPr>
                <w:rFonts w:ascii="Times New Roman" w:hAnsi="Times New Roman"/>
                <w:color w:val="auto"/>
                <w:sz w:val="20"/>
                <w:szCs w:val="20"/>
              </w:rPr>
              <w:t>8,045</w:t>
            </w:r>
          </w:p>
        </w:tc>
        <w:tc>
          <w:tcPr>
            <w:tcW w:w="1303" w:type="dxa"/>
            <w:tcBorders>
              <w:top w:val="nil"/>
              <w:left w:val="single" w:sz="4" w:space="0" w:color="auto"/>
              <w:bottom w:val="single" w:sz="4" w:space="0" w:color="auto"/>
              <w:right w:val="single" w:sz="4" w:space="0" w:color="auto"/>
            </w:tcBorders>
          </w:tcPr>
          <w:p w:rsidR="006B0006" w:rsidRPr="003122A3" w:rsidRDefault="006B0006" w:rsidP="00821AE6">
            <w:pPr>
              <w:spacing w:line="360" w:lineRule="auto"/>
              <w:jc w:val="both"/>
              <w:cnfStyle w:val="000000100000"/>
              <w:rPr>
                <w:rFonts w:ascii="Times New Roman" w:hAnsi="Times New Roman"/>
                <w:b/>
                <w:bCs/>
                <w:color w:val="auto"/>
                <w:sz w:val="20"/>
                <w:szCs w:val="20"/>
              </w:rPr>
            </w:pPr>
            <w:r w:rsidRPr="003122A3">
              <w:rPr>
                <w:rFonts w:ascii="Times New Roman" w:hAnsi="Times New Roman"/>
                <w:b/>
                <w:bCs/>
                <w:color w:val="auto"/>
                <w:sz w:val="20"/>
                <w:szCs w:val="20"/>
              </w:rPr>
              <w:t>23,825</w:t>
            </w:r>
          </w:p>
        </w:tc>
      </w:tr>
    </w:tbl>
    <w:p w:rsidR="006B0006" w:rsidRPr="003122A3" w:rsidRDefault="006B0006" w:rsidP="004A7115">
      <w:pPr>
        <w:ind w:left="709" w:hanging="567"/>
        <w:jc w:val="both"/>
        <w:rPr>
          <w:rFonts w:ascii="Times New Roman" w:hAnsi="Times New Roman" w:cs="Times New Roman"/>
          <w:iCs/>
          <w:sz w:val="18"/>
          <w:szCs w:val="18"/>
        </w:rPr>
      </w:pPr>
      <w:r w:rsidRPr="003122A3">
        <w:rPr>
          <w:rFonts w:ascii="Times New Roman" w:hAnsi="Times New Roman" w:cs="Times New Roman"/>
          <w:iCs/>
          <w:sz w:val="18"/>
          <w:szCs w:val="18"/>
        </w:rPr>
        <w:t>Source: Palestinian Central Bureau of Statistics. Database of Disabled Individuals Survey, 2011, (unpublished data).  Ramallah</w:t>
      </w:r>
      <w:r w:rsidRPr="003122A3">
        <w:rPr>
          <w:rFonts w:ascii="Times New Roman" w:hAnsi="Times New Roman" w:cs="Times New Roman"/>
          <w:iCs/>
          <w:sz w:val="18"/>
          <w:szCs w:val="18"/>
          <w:rtl/>
        </w:rPr>
        <w:t xml:space="preserve"> </w:t>
      </w:r>
      <w:proofErr w:type="spellStart"/>
      <w:r w:rsidRPr="003122A3">
        <w:rPr>
          <w:rFonts w:ascii="Times New Roman" w:hAnsi="Times New Roman" w:cs="Times New Roman"/>
          <w:iCs/>
          <w:sz w:val="18"/>
          <w:szCs w:val="18"/>
          <w:rtl/>
        </w:rPr>
        <w:t>-</w:t>
      </w:r>
      <w:proofErr w:type="spellEnd"/>
      <w:r w:rsidRPr="003122A3">
        <w:rPr>
          <w:rFonts w:ascii="Times New Roman" w:hAnsi="Times New Roman" w:cs="Times New Roman"/>
          <w:iCs/>
          <w:sz w:val="18"/>
          <w:szCs w:val="18"/>
          <w:rtl/>
        </w:rPr>
        <w:t xml:space="preserve"> </w:t>
      </w:r>
      <w:r w:rsidR="004A7115">
        <w:rPr>
          <w:rFonts w:ascii="Times New Roman" w:hAnsi="Times New Roman" w:cs="Times New Roman"/>
          <w:iCs/>
          <w:sz w:val="18"/>
          <w:szCs w:val="18"/>
        </w:rPr>
        <w:t xml:space="preserve"> </w:t>
      </w:r>
      <w:r w:rsidRPr="003122A3">
        <w:rPr>
          <w:rFonts w:ascii="Times New Roman" w:hAnsi="Times New Roman" w:cs="Times New Roman"/>
          <w:iCs/>
          <w:sz w:val="18"/>
          <w:szCs w:val="18"/>
        </w:rPr>
        <w:t>Palestine</w:t>
      </w:r>
      <w:proofErr w:type="spellStart"/>
      <w:r w:rsidRPr="003122A3">
        <w:rPr>
          <w:rFonts w:ascii="Times New Roman" w:hAnsi="Times New Roman" w:cs="Times New Roman"/>
          <w:iCs/>
          <w:sz w:val="18"/>
          <w:szCs w:val="18"/>
          <w:rtl/>
        </w:rPr>
        <w:t>.</w:t>
      </w:r>
      <w:proofErr w:type="spellEnd"/>
      <w:r w:rsidRPr="003122A3">
        <w:rPr>
          <w:rFonts w:ascii="Times New Roman" w:hAnsi="Times New Roman" w:cs="Times New Roman"/>
          <w:iCs/>
          <w:sz w:val="18"/>
          <w:szCs w:val="18"/>
          <w:rtl/>
        </w:rPr>
        <w:tab/>
      </w:r>
    </w:p>
    <w:p w:rsidR="009A6292" w:rsidRDefault="009A6292" w:rsidP="005D0563">
      <w:pPr>
        <w:pStyle w:val="Caption"/>
        <w:keepNext/>
        <w:bidi w:val="0"/>
        <w:rPr>
          <w:sz w:val="22"/>
          <w:szCs w:val="22"/>
        </w:rPr>
      </w:pPr>
      <w:bookmarkStart w:id="100" w:name="_Toc420269310"/>
    </w:p>
    <w:p w:rsidR="002D73AF" w:rsidRDefault="002D73AF" w:rsidP="002D73AF"/>
    <w:p w:rsidR="002D73AF" w:rsidRDefault="002D73AF" w:rsidP="002D73AF"/>
    <w:p w:rsidR="002D73AF" w:rsidRDefault="002D73AF" w:rsidP="002D73AF"/>
    <w:p w:rsidR="004A7115" w:rsidRDefault="004A7115" w:rsidP="002D73AF"/>
    <w:p w:rsidR="002D73AF" w:rsidRPr="002D73AF" w:rsidRDefault="002D73AF" w:rsidP="002D73AF"/>
    <w:p w:rsidR="006117AD" w:rsidRPr="003122A3" w:rsidRDefault="006117AD" w:rsidP="009A6292">
      <w:pPr>
        <w:pStyle w:val="Caption"/>
        <w:keepNext/>
        <w:bidi w:val="0"/>
        <w:rPr>
          <w:sz w:val="22"/>
          <w:szCs w:val="22"/>
        </w:rPr>
      </w:pPr>
      <w:r w:rsidRPr="003122A3">
        <w:rPr>
          <w:sz w:val="22"/>
          <w:szCs w:val="22"/>
        </w:rPr>
        <w:t>Table</w:t>
      </w:r>
      <w:r w:rsidR="000A5D11"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12</w:t>
      </w:r>
      <w:r w:rsidR="008F57C8" w:rsidRPr="003122A3">
        <w:rPr>
          <w:sz w:val="22"/>
          <w:szCs w:val="22"/>
          <w:rtl/>
        </w:rPr>
        <w:fldChar w:fldCharType="end"/>
      </w:r>
      <w:r w:rsidRPr="003122A3">
        <w:rPr>
          <w:sz w:val="22"/>
          <w:szCs w:val="22"/>
        </w:rPr>
        <w:t>: Percentage of Children 6-17 Years with Disabilities who are Integrated into Formal Education by Region, 2011</w:t>
      </w:r>
      <w:bookmarkEnd w:id="100"/>
    </w:p>
    <w:tbl>
      <w:tblPr>
        <w:tblStyle w:val="LightShading-Accent11"/>
        <w:tblW w:w="0" w:type="auto"/>
        <w:jc w:val="center"/>
        <w:tblLook w:val="04A0"/>
      </w:tblPr>
      <w:tblGrid>
        <w:gridCol w:w="4983"/>
        <w:gridCol w:w="1559"/>
        <w:gridCol w:w="1276"/>
        <w:gridCol w:w="1326"/>
      </w:tblGrid>
      <w:tr w:rsidR="006B0006" w:rsidRPr="003122A3" w:rsidTr="003278AB">
        <w:trPr>
          <w:cnfStyle w:val="100000000000"/>
          <w:trHeight w:val="113"/>
          <w:jc w:val="center"/>
        </w:trPr>
        <w:tc>
          <w:tcPr>
            <w:cnfStyle w:val="001000000000"/>
            <w:tcW w:w="4983" w:type="dxa"/>
            <w:vMerge w:val="restart"/>
            <w:tcBorders>
              <w:top w:val="single" w:sz="4" w:space="0" w:color="auto"/>
              <w:left w:val="single" w:sz="4" w:space="0" w:color="auto"/>
              <w:bottom w:val="single" w:sz="4" w:space="0" w:color="auto"/>
              <w:right w:val="single" w:sz="4" w:space="0" w:color="auto"/>
            </w:tcBorders>
          </w:tcPr>
          <w:p w:rsidR="006B0006" w:rsidRPr="003122A3" w:rsidRDefault="006B0006" w:rsidP="00FE6C0D">
            <w:pPr>
              <w:spacing w:line="360" w:lineRule="auto"/>
              <w:jc w:val="both"/>
              <w:rPr>
                <w:rFonts w:ascii="Times New Roman" w:hAnsi="Times New Roman"/>
                <w:color w:val="auto"/>
                <w:sz w:val="18"/>
                <w:szCs w:val="18"/>
              </w:rPr>
            </w:pPr>
            <w:r w:rsidRPr="003122A3">
              <w:rPr>
                <w:rFonts w:ascii="Times New Roman" w:hAnsi="Times New Roman"/>
                <w:color w:val="auto"/>
                <w:sz w:val="18"/>
                <w:szCs w:val="18"/>
              </w:rPr>
              <w:t>Indicator</w:t>
            </w:r>
          </w:p>
        </w:tc>
        <w:tc>
          <w:tcPr>
            <w:tcW w:w="2835" w:type="dxa"/>
            <w:gridSpan w:val="2"/>
            <w:tcBorders>
              <w:top w:val="single" w:sz="4" w:space="0" w:color="auto"/>
              <w:left w:val="single" w:sz="4" w:space="0" w:color="auto"/>
              <w:bottom w:val="single" w:sz="4" w:space="0" w:color="auto"/>
              <w:right w:val="single" w:sz="4" w:space="0" w:color="auto"/>
            </w:tcBorders>
          </w:tcPr>
          <w:p w:rsidR="006B0006" w:rsidRPr="003122A3" w:rsidRDefault="006B0006" w:rsidP="007F640B">
            <w:pPr>
              <w:spacing w:line="360" w:lineRule="auto"/>
              <w:jc w:val="center"/>
              <w:cnfStyle w:val="100000000000"/>
              <w:rPr>
                <w:rFonts w:ascii="Times New Roman" w:hAnsi="Times New Roman"/>
                <w:color w:val="auto"/>
                <w:sz w:val="18"/>
                <w:szCs w:val="18"/>
              </w:rPr>
            </w:pPr>
            <w:r w:rsidRPr="003122A3">
              <w:rPr>
                <w:rFonts w:ascii="Times New Roman" w:hAnsi="Times New Roman"/>
                <w:color w:val="auto"/>
                <w:sz w:val="18"/>
                <w:szCs w:val="18"/>
              </w:rPr>
              <w:t>Region</w:t>
            </w:r>
          </w:p>
        </w:tc>
        <w:tc>
          <w:tcPr>
            <w:tcW w:w="1326" w:type="dxa"/>
            <w:vMerge w:val="restart"/>
            <w:tcBorders>
              <w:top w:val="single" w:sz="4" w:space="0" w:color="auto"/>
              <w:left w:val="single" w:sz="4" w:space="0" w:color="auto"/>
              <w:bottom w:val="single" w:sz="4" w:space="0" w:color="auto"/>
              <w:right w:val="single" w:sz="4" w:space="0" w:color="auto"/>
            </w:tcBorders>
          </w:tcPr>
          <w:p w:rsidR="006B0006" w:rsidRPr="003122A3" w:rsidRDefault="006B0006" w:rsidP="00FE6C0D">
            <w:pPr>
              <w:spacing w:line="360" w:lineRule="auto"/>
              <w:jc w:val="both"/>
              <w:cnfStyle w:val="100000000000"/>
              <w:rPr>
                <w:rFonts w:ascii="Times New Roman" w:hAnsi="Times New Roman"/>
                <w:color w:val="auto"/>
                <w:sz w:val="18"/>
                <w:szCs w:val="18"/>
              </w:rPr>
            </w:pPr>
            <w:r w:rsidRPr="003122A3">
              <w:rPr>
                <w:rFonts w:ascii="Times New Roman" w:hAnsi="Times New Roman"/>
                <w:color w:val="auto"/>
                <w:sz w:val="18"/>
                <w:szCs w:val="18"/>
              </w:rPr>
              <w:t>Palestine</w:t>
            </w:r>
          </w:p>
        </w:tc>
      </w:tr>
      <w:tr w:rsidR="006B0006" w:rsidRPr="003122A3" w:rsidTr="003278AB">
        <w:trPr>
          <w:cnfStyle w:val="000000100000"/>
          <w:trHeight w:val="113"/>
          <w:jc w:val="center"/>
        </w:trPr>
        <w:tc>
          <w:tcPr>
            <w:cnfStyle w:val="001000000000"/>
            <w:tcW w:w="4983" w:type="dxa"/>
            <w:vMerge/>
            <w:tcBorders>
              <w:top w:val="single" w:sz="8" w:space="0" w:color="4F81BD"/>
              <w:left w:val="single" w:sz="4" w:space="0" w:color="auto"/>
              <w:bottom w:val="single" w:sz="4" w:space="0" w:color="auto"/>
              <w:right w:val="single" w:sz="4" w:space="0" w:color="auto"/>
            </w:tcBorders>
          </w:tcPr>
          <w:p w:rsidR="006B0006" w:rsidRPr="003122A3" w:rsidRDefault="006B0006" w:rsidP="00FE6C0D">
            <w:pPr>
              <w:spacing w:line="360" w:lineRule="auto"/>
              <w:jc w:val="both"/>
              <w:rPr>
                <w:rFonts w:ascii="Times New Roman" w:hAnsi="Times New Roman"/>
                <w:b w:val="0"/>
                <w:bCs w:val="0"/>
                <w:color w:val="auto"/>
                <w:sz w:val="18"/>
                <w:szCs w:val="18"/>
              </w:rPr>
            </w:pPr>
          </w:p>
        </w:tc>
        <w:tc>
          <w:tcPr>
            <w:tcW w:w="1559" w:type="dxa"/>
            <w:tcBorders>
              <w:top w:val="single" w:sz="4" w:space="0" w:color="auto"/>
              <w:left w:val="single" w:sz="4" w:space="0" w:color="auto"/>
              <w:bottom w:val="single" w:sz="4" w:space="0" w:color="auto"/>
              <w:right w:val="single" w:sz="4" w:space="0" w:color="auto"/>
            </w:tcBorders>
          </w:tcPr>
          <w:p w:rsidR="006B0006" w:rsidRPr="003122A3" w:rsidRDefault="006B0006" w:rsidP="00FE6C0D">
            <w:pPr>
              <w:spacing w:line="360" w:lineRule="auto"/>
              <w:jc w:val="both"/>
              <w:cnfStyle w:val="000000100000"/>
              <w:rPr>
                <w:rFonts w:ascii="Times New Roman" w:hAnsi="Times New Roman"/>
                <w:color w:val="auto"/>
                <w:sz w:val="18"/>
                <w:szCs w:val="18"/>
              </w:rPr>
            </w:pPr>
            <w:r w:rsidRPr="003122A3">
              <w:rPr>
                <w:rFonts w:ascii="Times New Roman" w:hAnsi="Times New Roman"/>
                <w:color w:val="auto"/>
                <w:sz w:val="18"/>
                <w:szCs w:val="18"/>
              </w:rPr>
              <w:t>West Bank</w:t>
            </w:r>
          </w:p>
        </w:tc>
        <w:tc>
          <w:tcPr>
            <w:tcW w:w="1276" w:type="dxa"/>
            <w:tcBorders>
              <w:top w:val="single" w:sz="4" w:space="0" w:color="auto"/>
              <w:left w:val="single" w:sz="4" w:space="0" w:color="auto"/>
              <w:bottom w:val="single" w:sz="4" w:space="0" w:color="auto"/>
              <w:right w:val="single" w:sz="4" w:space="0" w:color="auto"/>
            </w:tcBorders>
          </w:tcPr>
          <w:p w:rsidR="006B0006" w:rsidRPr="003122A3" w:rsidRDefault="006B0006" w:rsidP="00FE6C0D">
            <w:pPr>
              <w:spacing w:line="360" w:lineRule="auto"/>
              <w:jc w:val="both"/>
              <w:cnfStyle w:val="000000100000"/>
              <w:rPr>
                <w:rFonts w:ascii="Times New Roman" w:hAnsi="Times New Roman"/>
                <w:color w:val="auto"/>
                <w:sz w:val="18"/>
                <w:szCs w:val="18"/>
              </w:rPr>
            </w:pPr>
            <w:r w:rsidRPr="003122A3">
              <w:rPr>
                <w:rFonts w:ascii="Times New Roman" w:hAnsi="Times New Roman"/>
                <w:color w:val="auto"/>
                <w:sz w:val="18"/>
                <w:szCs w:val="18"/>
              </w:rPr>
              <w:t>Gaza Strip</w:t>
            </w:r>
          </w:p>
        </w:tc>
        <w:tc>
          <w:tcPr>
            <w:tcW w:w="1326" w:type="dxa"/>
            <w:vMerge/>
            <w:tcBorders>
              <w:left w:val="single" w:sz="4" w:space="0" w:color="auto"/>
              <w:bottom w:val="single" w:sz="4" w:space="0" w:color="auto"/>
              <w:right w:val="single" w:sz="4" w:space="0" w:color="auto"/>
            </w:tcBorders>
          </w:tcPr>
          <w:p w:rsidR="006B0006" w:rsidRPr="003122A3" w:rsidRDefault="006B0006" w:rsidP="00FE6C0D">
            <w:pPr>
              <w:spacing w:line="360" w:lineRule="auto"/>
              <w:jc w:val="both"/>
              <w:cnfStyle w:val="000000100000"/>
              <w:rPr>
                <w:rFonts w:ascii="Times New Roman" w:hAnsi="Times New Roman"/>
                <w:b/>
                <w:bCs/>
                <w:color w:val="auto"/>
                <w:sz w:val="18"/>
                <w:szCs w:val="18"/>
              </w:rPr>
            </w:pPr>
          </w:p>
        </w:tc>
      </w:tr>
      <w:tr w:rsidR="006B0006" w:rsidRPr="003122A3" w:rsidTr="003278AB">
        <w:trPr>
          <w:trHeight w:val="560"/>
          <w:jc w:val="center"/>
        </w:trPr>
        <w:tc>
          <w:tcPr>
            <w:cnfStyle w:val="001000000000"/>
            <w:tcW w:w="4983" w:type="dxa"/>
            <w:tcBorders>
              <w:top w:val="single" w:sz="4" w:space="0" w:color="auto"/>
              <w:left w:val="single" w:sz="4" w:space="0" w:color="auto"/>
              <w:bottom w:val="nil"/>
              <w:right w:val="single" w:sz="4" w:space="0" w:color="auto"/>
            </w:tcBorders>
          </w:tcPr>
          <w:p w:rsidR="006B0006" w:rsidRPr="00833BD7" w:rsidRDefault="006B0006" w:rsidP="00FE6C0D">
            <w:pPr>
              <w:spacing w:line="360" w:lineRule="auto"/>
              <w:jc w:val="both"/>
              <w:rPr>
                <w:rFonts w:ascii="Times New Roman" w:hAnsi="Times New Roman"/>
                <w:b w:val="0"/>
                <w:bCs w:val="0"/>
                <w:color w:val="auto"/>
                <w:sz w:val="20"/>
                <w:szCs w:val="20"/>
              </w:rPr>
            </w:pPr>
            <w:r w:rsidRPr="00833BD7">
              <w:rPr>
                <w:rFonts w:ascii="Times New Roman" w:hAnsi="Times New Roman"/>
                <w:b w:val="0"/>
                <w:bCs w:val="0"/>
                <w:color w:val="auto"/>
                <w:sz w:val="20"/>
                <w:szCs w:val="20"/>
              </w:rPr>
              <w:t>Percentage of children with disabilities who are integrated into formal education of the total number of school aged children with disabilities</w:t>
            </w:r>
          </w:p>
        </w:tc>
        <w:tc>
          <w:tcPr>
            <w:tcW w:w="1559" w:type="dxa"/>
            <w:tcBorders>
              <w:top w:val="single" w:sz="4" w:space="0" w:color="auto"/>
              <w:left w:val="single" w:sz="4" w:space="0" w:color="auto"/>
            </w:tcBorders>
          </w:tcPr>
          <w:p w:rsidR="006B0006" w:rsidRPr="003122A3" w:rsidRDefault="006B0006" w:rsidP="004A7115">
            <w:pPr>
              <w:spacing w:after="480"/>
              <w:jc w:val="center"/>
              <w:cnfStyle w:val="000000000000"/>
              <w:rPr>
                <w:rFonts w:ascii="Times New Roman" w:hAnsi="Times New Roman"/>
                <w:color w:val="auto"/>
                <w:sz w:val="18"/>
                <w:szCs w:val="18"/>
              </w:rPr>
            </w:pPr>
            <w:r w:rsidRPr="003122A3">
              <w:rPr>
                <w:rFonts w:ascii="Times New Roman" w:hAnsi="Times New Roman"/>
                <w:color w:val="auto"/>
                <w:sz w:val="18"/>
                <w:szCs w:val="18"/>
              </w:rPr>
              <w:t>3</w:t>
            </w:r>
            <w:r w:rsidR="00587582" w:rsidRPr="003122A3">
              <w:rPr>
                <w:rFonts w:ascii="Times New Roman" w:hAnsi="Times New Roman"/>
                <w:color w:val="auto"/>
                <w:sz w:val="18"/>
                <w:szCs w:val="18"/>
              </w:rPr>
              <w:t>1</w:t>
            </w:r>
            <w:r w:rsidRPr="003122A3">
              <w:rPr>
                <w:rFonts w:ascii="Times New Roman" w:hAnsi="Times New Roman"/>
                <w:color w:val="auto"/>
                <w:sz w:val="18"/>
                <w:szCs w:val="18"/>
              </w:rPr>
              <w:t>.</w:t>
            </w:r>
            <w:r w:rsidR="00587582" w:rsidRPr="003122A3">
              <w:rPr>
                <w:rFonts w:ascii="Times New Roman" w:hAnsi="Times New Roman"/>
                <w:color w:val="auto"/>
                <w:sz w:val="18"/>
                <w:szCs w:val="18"/>
              </w:rPr>
              <w:t>8</w:t>
            </w:r>
          </w:p>
        </w:tc>
        <w:tc>
          <w:tcPr>
            <w:tcW w:w="1276" w:type="dxa"/>
            <w:tcBorders>
              <w:top w:val="single" w:sz="4" w:space="0" w:color="auto"/>
            </w:tcBorders>
          </w:tcPr>
          <w:p w:rsidR="006B0006" w:rsidRPr="003122A3" w:rsidRDefault="006B0006" w:rsidP="004A7115">
            <w:pPr>
              <w:spacing w:after="480"/>
              <w:jc w:val="center"/>
              <w:cnfStyle w:val="000000000000"/>
              <w:rPr>
                <w:rFonts w:ascii="Times New Roman" w:hAnsi="Times New Roman"/>
                <w:color w:val="auto"/>
                <w:sz w:val="18"/>
                <w:szCs w:val="18"/>
              </w:rPr>
            </w:pPr>
            <w:r w:rsidRPr="003122A3">
              <w:rPr>
                <w:rFonts w:ascii="Times New Roman" w:hAnsi="Times New Roman"/>
                <w:color w:val="auto"/>
                <w:sz w:val="18"/>
                <w:szCs w:val="18"/>
              </w:rPr>
              <w:t>37.</w:t>
            </w:r>
            <w:r w:rsidR="006F61AF" w:rsidRPr="003122A3">
              <w:rPr>
                <w:rFonts w:ascii="Times New Roman" w:hAnsi="Times New Roman"/>
                <w:color w:val="auto"/>
                <w:sz w:val="18"/>
                <w:szCs w:val="18"/>
              </w:rPr>
              <w:t>5</w:t>
            </w:r>
          </w:p>
        </w:tc>
        <w:tc>
          <w:tcPr>
            <w:tcW w:w="1326" w:type="dxa"/>
            <w:tcBorders>
              <w:top w:val="single" w:sz="4" w:space="0" w:color="auto"/>
              <w:right w:val="single" w:sz="4" w:space="0" w:color="auto"/>
            </w:tcBorders>
          </w:tcPr>
          <w:p w:rsidR="006B0006" w:rsidRPr="003122A3" w:rsidRDefault="006B0006" w:rsidP="004A7115">
            <w:pPr>
              <w:spacing w:after="480"/>
              <w:jc w:val="center"/>
              <w:cnfStyle w:val="000000000000"/>
              <w:rPr>
                <w:rFonts w:ascii="Times New Roman" w:hAnsi="Times New Roman"/>
                <w:color w:val="auto"/>
                <w:sz w:val="18"/>
                <w:szCs w:val="18"/>
              </w:rPr>
            </w:pPr>
            <w:r w:rsidRPr="003122A3">
              <w:rPr>
                <w:rFonts w:ascii="Times New Roman" w:hAnsi="Times New Roman"/>
                <w:color w:val="auto"/>
                <w:sz w:val="18"/>
                <w:szCs w:val="18"/>
              </w:rPr>
              <w:t>3</w:t>
            </w:r>
            <w:r w:rsidR="006F61AF" w:rsidRPr="003122A3">
              <w:rPr>
                <w:rFonts w:ascii="Times New Roman" w:hAnsi="Times New Roman"/>
                <w:color w:val="auto"/>
                <w:sz w:val="18"/>
                <w:szCs w:val="18"/>
              </w:rPr>
              <w:t>3</w:t>
            </w:r>
            <w:r w:rsidRPr="003122A3">
              <w:rPr>
                <w:rFonts w:ascii="Times New Roman" w:hAnsi="Times New Roman"/>
                <w:color w:val="auto"/>
                <w:sz w:val="18"/>
                <w:szCs w:val="18"/>
              </w:rPr>
              <w:t>.</w:t>
            </w:r>
            <w:r w:rsidR="006F61AF" w:rsidRPr="003122A3">
              <w:rPr>
                <w:rFonts w:ascii="Times New Roman" w:hAnsi="Times New Roman"/>
                <w:color w:val="auto"/>
                <w:sz w:val="18"/>
                <w:szCs w:val="18"/>
              </w:rPr>
              <w:t>7</w:t>
            </w:r>
          </w:p>
        </w:tc>
      </w:tr>
      <w:tr w:rsidR="006B0006" w:rsidRPr="003122A3" w:rsidTr="003278AB">
        <w:trPr>
          <w:cnfStyle w:val="000000100000"/>
          <w:trHeight w:val="113"/>
          <w:jc w:val="center"/>
        </w:trPr>
        <w:tc>
          <w:tcPr>
            <w:cnfStyle w:val="001000000000"/>
            <w:tcW w:w="4983" w:type="dxa"/>
            <w:tcBorders>
              <w:top w:val="nil"/>
              <w:left w:val="single" w:sz="4" w:space="0" w:color="auto"/>
              <w:bottom w:val="single" w:sz="4" w:space="0" w:color="auto"/>
              <w:right w:val="single" w:sz="4" w:space="0" w:color="auto"/>
            </w:tcBorders>
          </w:tcPr>
          <w:p w:rsidR="006B0006" w:rsidRPr="00833BD7" w:rsidRDefault="006B0006" w:rsidP="00FE6C0D">
            <w:pPr>
              <w:spacing w:line="360" w:lineRule="auto"/>
              <w:jc w:val="both"/>
              <w:rPr>
                <w:rFonts w:ascii="Times New Roman" w:hAnsi="Times New Roman"/>
                <w:b w:val="0"/>
                <w:bCs w:val="0"/>
                <w:color w:val="auto"/>
                <w:sz w:val="20"/>
                <w:szCs w:val="20"/>
              </w:rPr>
            </w:pPr>
            <w:r w:rsidRPr="00833BD7">
              <w:rPr>
                <w:rFonts w:ascii="Times New Roman" w:hAnsi="Times New Roman"/>
                <w:b w:val="0"/>
                <w:bCs w:val="0"/>
                <w:color w:val="auto"/>
                <w:sz w:val="20"/>
                <w:szCs w:val="20"/>
              </w:rPr>
              <w:t>Number of children who are integrated into formal education</w:t>
            </w:r>
          </w:p>
        </w:tc>
        <w:tc>
          <w:tcPr>
            <w:tcW w:w="1559" w:type="dxa"/>
            <w:tcBorders>
              <w:left w:val="single" w:sz="4" w:space="0" w:color="auto"/>
              <w:bottom w:val="single" w:sz="4" w:space="0" w:color="auto"/>
            </w:tcBorders>
          </w:tcPr>
          <w:p w:rsidR="006B0006" w:rsidRPr="003122A3" w:rsidRDefault="006B0006" w:rsidP="004A7115">
            <w:pPr>
              <w:spacing w:after="480"/>
              <w:jc w:val="center"/>
              <w:cnfStyle w:val="000000100000"/>
              <w:rPr>
                <w:rFonts w:ascii="Times New Roman" w:hAnsi="Times New Roman"/>
                <w:color w:val="auto"/>
                <w:sz w:val="18"/>
                <w:szCs w:val="18"/>
              </w:rPr>
            </w:pPr>
            <w:r w:rsidRPr="003122A3">
              <w:rPr>
                <w:rFonts w:ascii="Times New Roman" w:hAnsi="Times New Roman"/>
                <w:color w:val="auto"/>
                <w:sz w:val="18"/>
                <w:szCs w:val="18"/>
              </w:rPr>
              <w:t>5,019</w:t>
            </w:r>
          </w:p>
        </w:tc>
        <w:tc>
          <w:tcPr>
            <w:tcW w:w="1276" w:type="dxa"/>
            <w:tcBorders>
              <w:bottom w:val="single" w:sz="4" w:space="0" w:color="auto"/>
            </w:tcBorders>
          </w:tcPr>
          <w:p w:rsidR="006B0006" w:rsidRPr="003122A3" w:rsidRDefault="006B0006" w:rsidP="004A7115">
            <w:pPr>
              <w:spacing w:after="480"/>
              <w:jc w:val="center"/>
              <w:cnfStyle w:val="000000100000"/>
              <w:rPr>
                <w:rFonts w:ascii="Times New Roman" w:hAnsi="Times New Roman"/>
                <w:color w:val="auto"/>
                <w:sz w:val="18"/>
                <w:szCs w:val="18"/>
              </w:rPr>
            </w:pPr>
            <w:r w:rsidRPr="003122A3">
              <w:rPr>
                <w:rFonts w:ascii="Times New Roman" w:hAnsi="Times New Roman"/>
                <w:color w:val="auto"/>
                <w:sz w:val="18"/>
                <w:szCs w:val="18"/>
              </w:rPr>
              <w:t>3,013</w:t>
            </w:r>
          </w:p>
        </w:tc>
        <w:tc>
          <w:tcPr>
            <w:tcW w:w="1326" w:type="dxa"/>
            <w:tcBorders>
              <w:bottom w:val="single" w:sz="4" w:space="0" w:color="auto"/>
              <w:right w:val="single" w:sz="4" w:space="0" w:color="auto"/>
            </w:tcBorders>
          </w:tcPr>
          <w:p w:rsidR="006B0006" w:rsidRPr="003122A3" w:rsidRDefault="006B0006" w:rsidP="004A7115">
            <w:pPr>
              <w:spacing w:after="480"/>
              <w:jc w:val="center"/>
              <w:cnfStyle w:val="000000100000"/>
              <w:rPr>
                <w:rFonts w:ascii="Times New Roman" w:hAnsi="Times New Roman"/>
                <w:color w:val="auto"/>
                <w:sz w:val="18"/>
                <w:szCs w:val="18"/>
              </w:rPr>
            </w:pPr>
            <w:r w:rsidRPr="003122A3">
              <w:rPr>
                <w:rFonts w:ascii="Times New Roman" w:hAnsi="Times New Roman"/>
                <w:color w:val="auto"/>
                <w:sz w:val="18"/>
                <w:szCs w:val="18"/>
              </w:rPr>
              <w:t>8,032</w:t>
            </w:r>
          </w:p>
        </w:tc>
      </w:tr>
    </w:tbl>
    <w:p w:rsidR="006B0006" w:rsidRPr="00363A7A" w:rsidRDefault="006B0006" w:rsidP="008E657F">
      <w:pPr>
        <w:jc w:val="both"/>
        <w:rPr>
          <w:rFonts w:ascii="Times New Roman" w:hAnsi="Times New Roman" w:cs="Times New Roman"/>
          <w:iCs/>
          <w:sz w:val="18"/>
          <w:szCs w:val="18"/>
        </w:rPr>
      </w:pPr>
      <w:r w:rsidRPr="00363A7A">
        <w:rPr>
          <w:rFonts w:ascii="Times New Roman" w:hAnsi="Times New Roman" w:cs="Times New Roman"/>
          <w:sz w:val="18"/>
          <w:szCs w:val="18"/>
        </w:rPr>
        <w:t xml:space="preserve">    </w:t>
      </w:r>
      <w:r w:rsidRPr="00363A7A">
        <w:rPr>
          <w:rFonts w:ascii="Times New Roman" w:hAnsi="Times New Roman" w:cs="Times New Roman"/>
          <w:iCs/>
          <w:sz w:val="18"/>
          <w:szCs w:val="18"/>
        </w:rPr>
        <w:t>Source: Ministry of Education, 2012. Statistical Yearbook of the West Bank and Gaza.</w:t>
      </w:r>
    </w:p>
    <w:p w:rsidR="006B0006" w:rsidRDefault="006B0006" w:rsidP="002D73A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It is necessary to identify the number of children with disabilities enrolled in special institutions per type of disability and explore the causes of their lack of integration into the educational system where possible in order to address this issue and identify children with disabilities who lack access to special education services in all sectors</w:t>
      </w:r>
    </w:p>
    <w:p w:rsidR="002D73AF" w:rsidRPr="003122A3" w:rsidRDefault="002D73AF" w:rsidP="002D73AF">
      <w:pPr>
        <w:spacing w:after="0" w:line="240" w:lineRule="auto"/>
        <w:jc w:val="both"/>
        <w:rPr>
          <w:rFonts w:ascii="Times New Roman" w:hAnsi="Times New Roman" w:cs="Times New Roman"/>
          <w:b/>
          <w:bCs/>
          <w:sz w:val="24"/>
          <w:szCs w:val="24"/>
        </w:rPr>
      </w:pPr>
    </w:p>
    <w:p w:rsidR="002D73AF" w:rsidRDefault="006B0006" w:rsidP="002D73AF">
      <w:pPr>
        <w:jc w:val="both"/>
        <w:rPr>
          <w:rFonts w:ascii="Times New Roman" w:hAnsi="Times New Roman" w:cs="Times New Roman"/>
          <w:b/>
          <w:bCs/>
          <w:sz w:val="24"/>
          <w:szCs w:val="24"/>
        </w:rPr>
      </w:pPr>
      <w:r w:rsidRPr="003122A3">
        <w:rPr>
          <w:rFonts w:ascii="Times New Roman" w:hAnsi="Times New Roman" w:cs="Times New Roman"/>
          <w:b/>
          <w:bCs/>
          <w:sz w:val="24"/>
          <w:szCs w:val="24"/>
        </w:rPr>
        <w:t xml:space="preserve">Status of </w:t>
      </w:r>
      <w:proofErr w:type="spellStart"/>
      <w:r w:rsidRPr="003122A3">
        <w:rPr>
          <w:rFonts w:ascii="Times New Roman" w:hAnsi="Times New Roman" w:cs="Times New Roman"/>
          <w:b/>
          <w:bCs/>
          <w:sz w:val="24"/>
          <w:szCs w:val="24"/>
        </w:rPr>
        <w:t>MoSA</w:t>
      </w:r>
      <w:proofErr w:type="spellEnd"/>
      <w:r w:rsidRPr="003122A3">
        <w:rPr>
          <w:rFonts w:ascii="Times New Roman" w:hAnsi="Times New Roman" w:cs="Times New Roman"/>
          <w:b/>
          <w:bCs/>
          <w:sz w:val="24"/>
          <w:szCs w:val="24"/>
        </w:rPr>
        <w:t xml:space="preserve"> Services to Children with Disabilities</w:t>
      </w:r>
      <w:r w:rsidR="00F02099">
        <w:rPr>
          <w:rFonts w:ascii="Times New Roman" w:hAnsi="Times New Roman" w:cs="Times New Roman"/>
          <w:b/>
          <w:bCs/>
          <w:sz w:val="24"/>
          <w:szCs w:val="24"/>
        </w:rPr>
        <w:t xml:space="preserve"> </w:t>
      </w:r>
      <w:r w:rsidR="00E00690" w:rsidRPr="003122A3">
        <w:rPr>
          <w:rStyle w:val="FootnoteReference"/>
          <w:rFonts w:ascii="Times New Roman" w:hAnsi="Times New Roman" w:cs="Times New Roman"/>
          <w:b/>
          <w:bCs/>
          <w:sz w:val="24"/>
          <w:szCs w:val="24"/>
          <w:rtl/>
        </w:rPr>
        <w:footnoteReference w:id="56"/>
      </w:r>
    </w:p>
    <w:p w:rsidR="006B0006" w:rsidRDefault="006B0006" w:rsidP="002D73AF">
      <w:pPr>
        <w:spacing w:after="0" w:line="240" w:lineRule="auto"/>
        <w:jc w:val="both"/>
        <w:rPr>
          <w:rFonts w:ascii="Times New Roman" w:hAnsi="Times New Roman" w:cs="Times New Roman"/>
          <w:sz w:val="24"/>
          <w:szCs w:val="24"/>
        </w:rPr>
      </w:pPr>
      <w:proofErr w:type="spellStart"/>
      <w:r w:rsidRPr="003122A3">
        <w:rPr>
          <w:rFonts w:ascii="Times New Roman" w:hAnsi="Times New Roman" w:cs="Times New Roman"/>
          <w:sz w:val="24"/>
          <w:szCs w:val="24"/>
        </w:rPr>
        <w:t>MoSA</w:t>
      </w:r>
      <w:proofErr w:type="spellEnd"/>
      <w:r w:rsidRPr="003122A3">
        <w:rPr>
          <w:rFonts w:ascii="Times New Roman" w:hAnsi="Times New Roman" w:cs="Times New Roman"/>
          <w:sz w:val="24"/>
          <w:szCs w:val="24"/>
        </w:rPr>
        <w:t xml:space="preserve"> Directorate General for Disabled Affairs is tasked with responsibilities specified in nationals laws and legislation and regulations applicable in </w:t>
      </w:r>
      <w:proofErr w:type="spellStart"/>
      <w:r w:rsidRPr="003122A3">
        <w:rPr>
          <w:rFonts w:ascii="Times New Roman" w:hAnsi="Times New Roman" w:cs="Times New Roman"/>
          <w:sz w:val="24"/>
          <w:szCs w:val="24"/>
        </w:rPr>
        <w:t>MoSA</w:t>
      </w:r>
      <w:proofErr w:type="spellEnd"/>
      <w:r w:rsidRPr="003122A3">
        <w:rPr>
          <w:rFonts w:ascii="Times New Roman" w:hAnsi="Times New Roman" w:cs="Times New Roman"/>
          <w:sz w:val="24"/>
          <w:szCs w:val="24"/>
        </w:rPr>
        <w:t xml:space="preserve">. It represents the Ministry in national efforts on the affairs of disabled people. For this purpose, Law No 4 on the Rights of the Disabled entrusted </w:t>
      </w:r>
      <w:proofErr w:type="spellStart"/>
      <w:r w:rsidRPr="003122A3">
        <w:rPr>
          <w:rFonts w:ascii="Times New Roman" w:hAnsi="Times New Roman" w:cs="Times New Roman"/>
          <w:sz w:val="24"/>
          <w:szCs w:val="24"/>
        </w:rPr>
        <w:t>MoSA</w:t>
      </w:r>
      <w:proofErr w:type="spellEnd"/>
      <w:r w:rsidRPr="003122A3">
        <w:rPr>
          <w:rFonts w:ascii="Times New Roman" w:hAnsi="Times New Roman" w:cs="Times New Roman"/>
          <w:sz w:val="24"/>
          <w:szCs w:val="24"/>
        </w:rPr>
        <w:t xml:space="preserve"> with the task of supervising national public and private institutions working with disabled people and provide direct services to the disabled. As a result, </w:t>
      </w:r>
      <w:proofErr w:type="spellStart"/>
      <w:r w:rsidRPr="003122A3">
        <w:rPr>
          <w:rFonts w:ascii="Times New Roman" w:hAnsi="Times New Roman" w:cs="Times New Roman"/>
          <w:sz w:val="24"/>
          <w:szCs w:val="24"/>
        </w:rPr>
        <w:t>MoSA</w:t>
      </w:r>
      <w:proofErr w:type="spellEnd"/>
      <w:r w:rsidRPr="003122A3">
        <w:rPr>
          <w:rFonts w:ascii="Times New Roman" w:hAnsi="Times New Roman" w:cs="Times New Roman"/>
          <w:sz w:val="24"/>
          <w:szCs w:val="24"/>
        </w:rPr>
        <w:t xml:space="preserve"> started applying a number of procedures to fulfill this task namely the following interventions in 2014:</w:t>
      </w:r>
    </w:p>
    <w:p w:rsidR="002D73AF" w:rsidRPr="003122A3" w:rsidRDefault="002D73AF" w:rsidP="002D73AF">
      <w:pPr>
        <w:spacing w:after="0" w:line="240" w:lineRule="auto"/>
        <w:jc w:val="both"/>
        <w:rPr>
          <w:rFonts w:ascii="Times New Roman" w:hAnsi="Times New Roman" w:cs="Times New Roman"/>
          <w:sz w:val="24"/>
          <w:szCs w:val="24"/>
          <w:rtl/>
        </w:rPr>
      </w:pPr>
    </w:p>
    <w:p w:rsidR="008C785D" w:rsidRDefault="006B0006" w:rsidP="002D73AF">
      <w:pPr>
        <w:spacing w:after="0" w:line="240" w:lineRule="auto"/>
        <w:jc w:val="both"/>
        <w:rPr>
          <w:rFonts w:ascii="Times New Roman" w:hAnsi="Times New Roman" w:cs="Times New Roman"/>
          <w:sz w:val="24"/>
          <w:szCs w:val="24"/>
        </w:rPr>
      </w:pPr>
      <w:proofErr w:type="spellStart"/>
      <w:r w:rsidRPr="003122A3">
        <w:rPr>
          <w:rFonts w:ascii="Times New Roman" w:hAnsi="Times New Roman" w:cs="Times New Roman"/>
          <w:sz w:val="24"/>
          <w:szCs w:val="24"/>
        </w:rPr>
        <w:t>MoSA</w:t>
      </w:r>
      <w:proofErr w:type="spellEnd"/>
      <w:r w:rsidRPr="003122A3">
        <w:rPr>
          <w:rFonts w:ascii="Times New Roman" w:hAnsi="Times New Roman" w:cs="Times New Roman"/>
          <w:sz w:val="24"/>
          <w:szCs w:val="24"/>
        </w:rPr>
        <w:t xml:space="preserve"> provides protection and care services to the disabled via the following centers:</w:t>
      </w:r>
    </w:p>
    <w:p w:rsidR="002D73AF" w:rsidRPr="003122A3" w:rsidRDefault="002D73AF" w:rsidP="002D73AF">
      <w:pPr>
        <w:spacing w:after="0" w:line="240" w:lineRule="auto"/>
        <w:jc w:val="both"/>
        <w:rPr>
          <w:rFonts w:ascii="Times New Roman" w:hAnsi="Times New Roman" w:cs="Times New Roman"/>
          <w:sz w:val="24"/>
          <w:szCs w:val="24"/>
          <w:rtl/>
        </w:rPr>
      </w:pPr>
    </w:p>
    <w:p w:rsidR="008C785D" w:rsidRPr="003122A3" w:rsidRDefault="006B0006" w:rsidP="009A6292">
      <w:pPr>
        <w:pStyle w:val="ListParagraph"/>
        <w:numPr>
          <w:ilvl w:val="0"/>
          <w:numId w:val="10"/>
        </w:numPr>
        <w:ind w:left="426" w:hanging="284"/>
        <w:jc w:val="both"/>
        <w:rPr>
          <w:rFonts w:ascii="Times New Roman" w:hAnsi="Times New Roman" w:cs="Times New Roman"/>
          <w:b/>
          <w:bCs/>
          <w:sz w:val="24"/>
          <w:szCs w:val="24"/>
        </w:rPr>
      </w:pPr>
      <w:proofErr w:type="spellStart"/>
      <w:r w:rsidRPr="003122A3">
        <w:rPr>
          <w:rFonts w:ascii="Times New Roman" w:hAnsi="Times New Roman" w:cs="Times New Roman"/>
          <w:b/>
          <w:bCs/>
          <w:sz w:val="24"/>
          <w:szCs w:val="24"/>
        </w:rPr>
        <w:t>Shiekh</w:t>
      </w:r>
      <w:proofErr w:type="spellEnd"/>
      <w:r w:rsidRPr="003122A3">
        <w:rPr>
          <w:rFonts w:ascii="Times New Roman" w:hAnsi="Times New Roman" w:cs="Times New Roman"/>
          <w:b/>
          <w:bCs/>
          <w:sz w:val="24"/>
          <w:szCs w:val="24"/>
        </w:rPr>
        <w:t xml:space="preserve"> </w:t>
      </w:r>
      <w:proofErr w:type="spellStart"/>
      <w:r w:rsidRPr="003122A3">
        <w:rPr>
          <w:rFonts w:ascii="Times New Roman" w:hAnsi="Times New Roman" w:cs="Times New Roman"/>
          <w:b/>
          <w:bCs/>
          <w:sz w:val="24"/>
          <w:szCs w:val="24"/>
        </w:rPr>
        <w:t>Khalifa</w:t>
      </w:r>
      <w:proofErr w:type="spellEnd"/>
      <w:r w:rsidRPr="003122A3">
        <w:rPr>
          <w:rFonts w:ascii="Times New Roman" w:hAnsi="Times New Roman" w:cs="Times New Roman"/>
          <w:b/>
          <w:bCs/>
          <w:sz w:val="24"/>
          <w:szCs w:val="24"/>
        </w:rPr>
        <w:t xml:space="preserve"> Center</w:t>
      </w:r>
    </w:p>
    <w:p w:rsidR="006B0006" w:rsidRDefault="006B0006" w:rsidP="002D73AF">
      <w:pPr>
        <w:spacing w:after="0" w:line="240" w:lineRule="auto"/>
        <w:ind w:left="142"/>
        <w:jc w:val="both"/>
        <w:rPr>
          <w:rFonts w:ascii="Times New Roman" w:hAnsi="Times New Roman" w:cs="Times New Roman"/>
          <w:sz w:val="24"/>
          <w:szCs w:val="24"/>
        </w:rPr>
      </w:pPr>
      <w:r w:rsidRPr="003122A3">
        <w:rPr>
          <w:rFonts w:ascii="Times New Roman" w:hAnsi="Times New Roman" w:cs="Times New Roman"/>
          <w:sz w:val="24"/>
          <w:szCs w:val="24"/>
        </w:rPr>
        <w:t>The Center provides vocational training to people with motor disability and dyslexia of both genders to the age group (15-35 years); they are trained to certain professions including aluminum works, carpentry, electronics, sewing, IT, and embroidery. The center served 17 children in 2014.</w:t>
      </w:r>
    </w:p>
    <w:p w:rsidR="002D73AF" w:rsidRPr="003122A3" w:rsidRDefault="002D73AF" w:rsidP="002D73AF">
      <w:pPr>
        <w:spacing w:after="0" w:line="240" w:lineRule="auto"/>
        <w:ind w:left="142"/>
        <w:jc w:val="both"/>
        <w:rPr>
          <w:rFonts w:ascii="Times New Roman" w:hAnsi="Times New Roman" w:cs="Times New Roman"/>
          <w:sz w:val="24"/>
          <w:szCs w:val="24"/>
          <w:rtl/>
        </w:rPr>
      </w:pPr>
    </w:p>
    <w:p w:rsidR="008C785D" w:rsidRPr="003122A3" w:rsidRDefault="006B0006" w:rsidP="009A6292">
      <w:pPr>
        <w:pStyle w:val="ListParagraph"/>
        <w:numPr>
          <w:ilvl w:val="0"/>
          <w:numId w:val="10"/>
        </w:numPr>
        <w:ind w:left="426" w:hanging="284"/>
        <w:jc w:val="both"/>
        <w:rPr>
          <w:rFonts w:ascii="Times New Roman" w:hAnsi="Times New Roman" w:cs="Times New Roman"/>
          <w:b/>
          <w:bCs/>
          <w:sz w:val="24"/>
          <w:szCs w:val="24"/>
        </w:rPr>
      </w:pPr>
      <w:proofErr w:type="spellStart"/>
      <w:r w:rsidRPr="003122A3">
        <w:rPr>
          <w:rFonts w:ascii="Times New Roman" w:hAnsi="Times New Roman" w:cs="Times New Roman"/>
          <w:b/>
          <w:bCs/>
          <w:sz w:val="24"/>
          <w:szCs w:val="24"/>
        </w:rPr>
        <w:t>Shiekha</w:t>
      </w:r>
      <w:proofErr w:type="spellEnd"/>
      <w:r w:rsidRPr="003122A3">
        <w:rPr>
          <w:rFonts w:ascii="Times New Roman" w:hAnsi="Times New Roman" w:cs="Times New Roman"/>
          <w:b/>
          <w:bCs/>
          <w:sz w:val="24"/>
          <w:szCs w:val="24"/>
        </w:rPr>
        <w:t xml:space="preserve"> Fatima Center</w:t>
      </w:r>
    </w:p>
    <w:p w:rsidR="006B0006" w:rsidRDefault="006B0006" w:rsidP="002D73AF">
      <w:pPr>
        <w:spacing w:after="0" w:line="240" w:lineRule="auto"/>
        <w:ind w:left="142"/>
        <w:jc w:val="both"/>
        <w:rPr>
          <w:rFonts w:ascii="Times New Roman" w:hAnsi="Times New Roman" w:cs="Times New Roman"/>
          <w:sz w:val="24"/>
          <w:szCs w:val="24"/>
        </w:rPr>
      </w:pPr>
      <w:r w:rsidRPr="003122A3">
        <w:rPr>
          <w:rFonts w:ascii="Times New Roman" w:hAnsi="Times New Roman" w:cs="Times New Roman"/>
          <w:sz w:val="24"/>
          <w:szCs w:val="24"/>
        </w:rPr>
        <w:t>It provides vocational training to disabled people of both genders for the age group (15-35 years) who receive training on aluminum works, carpentry, hairdressing, computer, maintenance, office and cellular phones. In 2014, this Center did not target any disabled child.</w:t>
      </w:r>
    </w:p>
    <w:p w:rsidR="002D73AF" w:rsidRPr="003122A3" w:rsidRDefault="002D73AF" w:rsidP="002D73AF">
      <w:pPr>
        <w:spacing w:after="0" w:line="240" w:lineRule="auto"/>
        <w:ind w:left="142"/>
        <w:jc w:val="both"/>
        <w:rPr>
          <w:rFonts w:ascii="Times New Roman" w:hAnsi="Times New Roman" w:cs="Times New Roman"/>
          <w:sz w:val="24"/>
          <w:szCs w:val="24"/>
          <w:rtl/>
        </w:rPr>
      </w:pPr>
    </w:p>
    <w:p w:rsidR="008C785D" w:rsidRPr="003122A3" w:rsidRDefault="006B0006" w:rsidP="009A6292">
      <w:pPr>
        <w:pStyle w:val="ListParagraph"/>
        <w:numPr>
          <w:ilvl w:val="0"/>
          <w:numId w:val="10"/>
        </w:numPr>
        <w:ind w:left="426" w:hanging="284"/>
        <w:jc w:val="both"/>
        <w:rPr>
          <w:rFonts w:ascii="Times New Roman" w:hAnsi="Times New Roman" w:cs="Times New Roman"/>
          <w:b/>
          <w:bCs/>
          <w:sz w:val="24"/>
          <w:szCs w:val="24"/>
        </w:rPr>
      </w:pPr>
      <w:r w:rsidRPr="003122A3">
        <w:rPr>
          <w:rFonts w:ascii="Times New Roman" w:hAnsi="Times New Roman" w:cs="Times New Roman"/>
          <w:b/>
          <w:bCs/>
          <w:sz w:val="24"/>
          <w:szCs w:val="24"/>
        </w:rPr>
        <w:t>Casablanca Center</w:t>
      </w:r>
    </w:p>
    <w:p w:rsidR="006B0006" w:rsidRDefault="006B0006" w:rsidP="002D73AF">
      <w:pPr>
        <w:spacing w:after="0" w:line="240" w:lineRule="auto"/>
        <w:ind w:left="142"/>
        <w:jc w:val="both"/>
        <w:rPr>
          <w:rFonts w:ascii="Times New Roman" w:hAnsi="Times New Roman" w:cs="Times New Roman"/>
          <w:sz w:val="24"/>
          <w:szCs w:val="24"/>
        </w:rPr>
      </w:pPr>
      <w:r w:rsidRPr="003122A3">
        <w:rPr>
          <w:rFonts w:ascii="Times New Roman" w:hAnsi="Times New Roman" w:cs="Times New Roman"/>
          <w:sz w:val="24"/>
          <w:szCs w:val="24"/>
        </w:rPr>
        <w:t>It provides shelter and physiotherapy and life skills to children with mental disabilities targeting male children aged 5-11 years and females of 5-15 years. 35 children benefited from such services in 2014.</w:t>
      </w:r>
    </w:p>
    <w:p w:rsidR="002D73AF" w:rsidRDefault="002D73AF" w:rsidP="002D73AF">
      <w:pPr>
        <w:spacing w:after="0" w:line="240" w:lineRule="auto"/>
        <w:ind w:left="142"/>
        <w:jc w:val="both"/>
        <w:rPr>
          <w:rFonts w:ascii="Times New Roman" w:hAnsi="Times New Roman" w:cs="Times New Roman"/>
          <w:sz w:val="24"/>
          <w:szCs w:val="24"/>
        </w:rPr>
      </w:pPr>
    </w:p>
    <w:p w:rsidR="002D73AF" w:rsidRDefault="002D73AF" w:rsidP="002D73AF">
      <w:pPr>
        <w:spacing w:after="0" w:line="240" w:lineRule="auto"/>
        <w:ind w:left="142"/>
        <w:jc w:val="both"/>
        <w:rPr>
          <w:rFonts w:ascii="Times New Roman" w:hAnsi="Times New Roman" w:cs="Times New Roman"/>
          <w:sz w:val="24"/>
          <w:szCs w:val="24"/>
        </w:rPr>
      </w:pPr>
    </w:p>
    <w:p w:rsidR="002D73AF" w:rsidRDefault="002D73AF" w:rsidP="002D73AF">
      <w:pPr>
        <w:spacing w:after="0" w:line="240" w:lineRule="auto"/>
        <w:ind w:left="142"/>
        <w:jc w:val="both"/>
        <w:rPr>
          <w:rFonts w:ascii="Times New Roman" w:hAnsi="Times New Roman" w:cs="Times New Roman"/>
          <w:sz w:val="24"/>
          <w:szCs w:val="24"/>
        </w:rPr>
      </w:pPr>
    </w:p>
    <w:p w:rsidR="002D73AF" w:rsidRPr="003122A3" w:rsidRDefault="002D73AF" w:rsidP="002D73AF">
      <w:pPr>
        <w:spacing w:after="0" w:line="240" w:lineRule="auto"/>
        <w:ind w:left="142"/>
        <w:jc w:val="both"/>
        <w:rPr>
          <w:rFonts w:ascii="Times New Roman" w:hAnsi="Times New Roman" w:cs="Times New Roman"/>
          <w:sz w:val="24"/>
          <w:szCs w:val="24"/>
          <w:rtl/>
        </w:rPr>
      </w:pPr>
    </w:p>
    <w:p w:rsidR="008C785D" w:rsidRPr="003122A3" w:rsidRDefault="006B0006" w:rsidP="00F64E06">
      <w:pPr>
        <w:pStyle w:val="ListParagraph"/>
        <w:numPr>
          <w:ilvl w:val="0"/>
          <w:numId w:val="10"/>
        </w:numPr>
        <w:ind w:left="284" w:hanging="284"/>
        <w:jc w:val="both"/>
        <w:rPr>
          <w:rFonts w:ascii="Times New Roman" w:hAnsi="Times New Roman" w:cs="Times New Roman"/>
          <w:b/>
          <w:bCs/>
          <w:sz w:val="24"/>
          <w:szCs w:val="24"/>
        </w:rPr>
      </w:pPr>
      <w:proofErr w:type="spellStart"/>
      <w:r w:rsidRPr="003122A3">
        <w:rPr>
          <w:rFonts w:ascii="Times New Roman" w:hAnsi="Times New Roman" w:cs="Times New Roman"/>
          <w:b/>
          <w:bCs/>
          <w:sz w:val="24"/>
          <w:szCs w:val="24"/>
        </w:rPr>
        <w:t>Alaiyay</w:t>
      </w:r>
      <w:proofErr w:type="spellEnd"/>
      <w:r w:rsidRPr="003122A3">
        <w:rPr>
          <w:rFonts w:ascii="Times New Roman" w:hAnsi="Times New Roman" w:cs="Times New Roman"/>
          <w:b/>
          <w:bCs/>
          <w:sz w:val="24"/>
          <w:szCs w:val="24"/>
        </w:rPr>
        <w:t xml:space="preserve"> School</w:t>
      </w:r>
    </w:p>
    <w:p w:rsidR="006B0006" w:rsidRDefault="006B0006" w:rsidP="006F4B49">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It provides academic services to visually impaired male students aged (6-15 years) and mo</w:t>
      </w:r>
      <w:r w:rsidR="006F4B49">
        <w:rPr>
          <w:rFonts w:ascii="Times New Roman" w:hAnsi="Times New Roman" w:cs="Times New Roman"/>
          <w:sz w:val="24"/>
          <w:szCs w:val="24"/>
        </w:rPr>
        <w:t>bility</w:t>
      </w:r>
      <w:r w:rsidRPr="003122A3">
        <w:rPr>
          <w:rFonts w:ascii="Times New Roman" w:hAnsi="Times New Roman" w:cs="Times New Roman"/>
          <w:sz w:val="24"/>
          <w:szCs w:val="24"/>
        </w:rPr>
        <w:t xml:space="preserve"> </w:t>
      </w:r>
      <w:proofErr w:type="spellStart"/>
      <w:r w:rsidRPr="003122A3">
        <w:rPr>
          <w:rFonts w:ascii="Times New Roman" w:hAnsi="Times New Roman" w:cs="Times New Roman"/>
          <w:sz w:val="24"/>
          <w:szCs w:val="24"/>
        </w:rPr>
        <w:t>counselling</w:t>
      </w:r>
      <w:proofErr w:type="spellEnd"/>
      <w:r w:rsidRPr="003122A3">
        <w:rPr>
          <w:rFonts w:ascii="Times New Roman" w:hAnsi="Times New Roman" w:cs="Times New Roman"/>
          <w:sz w:val="24"/>
          <w:szCs w:val="24"/>
        </w:rPr>
        <w:t xml:space="preserve"> and life skills teaching. 10 students benefited from the school in 2014.</w:t>
      </w:r>
    </w:p>
    <w:p w:rsidR="002D73AF" w:rsidRPr="003122A3" w:rsidRDefault="002D73AF" w:rsidP="002D73AF">
      <w:pPr>
        <w:spacing w:after="0" w:line="240" w:lineRule="auto"/>
        <w:ind w:left="142"/>
        <w:jc w:val="both"/>
        <w:rPr>
          <w:rFonts w:ascii="Times New Roman" w:hAnsi="Times New Roman" w:cs="Times New Roman"/>
          <w:sz w:val="24"/>
          <w:szCs w:val="24"/>
        </w:rPr>
      </w:pPr>
    </w:p>
    <w:p w:rsidR="008C785D" w:rsidRPr="003122A3" w:rsidRDefault="006B0006" w:rsidP="008E657F">
      <w:pPr>
        <w:jc w:val="both"/>
        <w:rPr>
          <w:rFonts w:ascii="Times New Roman" w:hAnsi="Times New Roman" w:cs="Times New Roman"/>
          <w:b/>
          <w:bCs/>
          <w:sz w:val="24"/>
          <w:szCs w:val="24"/>
          <w:rtl/>
        </w:rPr>
      </w:pPr>
      <w:r w:rsidRPr="003122A3">
        <w:rPr>
          <w:rFonts w:ascii="Times New Roman" w:hAnsi="Times New Roman" w:cs="Times New Roman"/>
          <w:b/>
          <w:bCs/>
          <w:sz w:val="24"/>
          <w:szCs w:val="24"/>
        </w:rPr>
        <w:t>Municipal Support Project</w:t>
      </w:r>
    </w:p>
    <w:p w:rsidR="006B0006" w:rsidRDefault="006B0006" w:rsidP="002D73A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This project aims to integrate the question of children with disabilities in the core responsibilities of municipalities in Jericho, </w:t>
      </w:r>
      <w:proofErr w:type="spellStart"/>
      <w:r w:rsidRPr="003122A3">
        <w:rPr>
          <w:rFonts w:ascii="Times New Roman" w:hAnsi="Times New Roman" w:cs="Times New Roman"/>
          <w:sz w:val="24"/>
          <w:szCs w:val="24"/>
        </w:rPr>
        <w:t>Yatta</w:t>
      </w:r>
      <w:proofErr w:type="spellEnd"/>
      <w:r w:rsidRPr="003122A3">
        <w:rPr>
          <w:rFonts w:ascii="Times New Roman" w:hAnsi="Times New Roman" w:cs="Times New Roman"/>
          <w:sz w:val="24"/>
          <w:szCs w:val="24"/>
        </w:rPr>
        <w:t xml:space="preserve">, </w:t>
      </w:r>
      <w:proofErr w:type="spellStart"/>
      <w:r w:rsidRPr="003122A3">
        <w:rPr>
          <w:rFonts w:ascii="Times New Roman" w:hAnsi="Times New Roman" w:cs="Times New Roman"/>
          <w:sz w:val="24"/>
          <w:szCs w:val="24"/>
        </w:rPr>
        <w:t>Alsumou</w:t>
      </w:r>
      <w:proofErr w:type="spellEnd"/>
      <w:r w:rsidRPr="003122A3">
        <w:rPr>
          <w:rFonts w:ascii="Times New Roman" w:hAnsi="Times New Roman" w:cs="Times New Roman"/>
          <w:sz w:val="24"/>
          <w:szCs w:val="24"/>
        </w:rPr>
        <w:t xml:space="preserve">’, </w:t>
      </w:r>
      <w:proofErr w:type="spellStart"/>
      <w:r w:rsidRPr="003122A3">
        <w:rPr>
          <w:rFonts w:ascii="Times New Roman" w:hAnsi="Times New Roman" w:cs="Times New Roman"/>
          <w:sz w:val="24"/>
          <w:szCs w:val="24"/>
        </w:rPr>
        <w:t>Idhna</w:t>
      </w:r>
      <w:proofErr w:type="spellEnd"/>
      <w:r w:rsidRPr="003122A3">
        <w:rPr>
          <w:rFonts w:ascii="Times New Roman" w:hAnsi="Times New Roman" w:cs="Times New Roman"/>
          <w:sz w:val="24"/>
          <w:szCs w:val="24"/>
        </w:rPr>
        <w:t xml:space="preserve">, </w:t>
      </w:r>
      <w:proofErr w:type="spellStart"/>
      <w:r w:rsidRPr="003122A3">
        <w:rPr>
          <w:rFonts w:ascii="Times New Roman" w:hAnsi="Times New Roman" w:cs="Times New Roman"/>
          <w:sz w:val="24"/>
          <w:szCs w:val="24"/>
        </w:rPr>
        <w:t>Halhoul</w:t>
      </w:r>
      <w:proofErr w:type="spellEnd"/>
      <w:r w:rsidRPr="003122A3">
        <w:rPr>
          <w:rFonts w:ascii="Times New Roman" w:hAnsi="Times New Roman" w:cs="Times New Roman"/>
          <w:sz w:val="24"/>
          <w:szCs w:val="24"/>
        </w:rPr>
        <w:t xml:space="preserve"> and </w:t>
      </w:r>
      <w:proofErr w:type="spellStart"/>
      <w:r w:rsidRPr="003122A3">
        <w:rPr>
          <w:rFonts w:ascii="Times New Roman" w:hAnsi="Times New Roman" w:cs="Times New Roman"/>
          <w:sz w:val="24"/>
          <w:szCs w:val="24"/>
        </w:rPr>
        <w:t>Beit</w:t>
      </w:r>
      <w:proofErr w:type="spellEnd"/>
      <w:r w:rsidRPr="003122A3">
        <w:rPr>
          <w:rFonts w:ascii="Times New Roman" w:hAnsi="Times New Roman" w:cs="Times New Roman"/>
          <w:sz w:val="24"/>
          <w:szCs w:val="24"/>
        </w:rPr>
        <w:t xml:space="preserve"> </w:t>
      </w:r>
      <w:proofErr w:type="spellStart"/>
      <w:r w:rsidRPr="003122A3">
        <w:rPr>
          <w:rFonts w:ascii="Times New Roman" w:hAnsi="Times New Roman" w:cs="Times New Roman"/>
          <w:sz w:val="24"/>
          <w:szCs w:val="24"/>
        </w:rPr>
        <w:t>Fujjar</w:t>
      </w:r>
      <w:proofErr w:type="spellEnd"/>
      <w:r w:rsidRPr="003122A3">
        <w:rPr>
          <w:rFonts w:ascii="Times New Roman" w:hAnsi="Times New Roman" w:cs="Times New Roman"/>
          <w:sz w:val="24"/>
          <w:szCs w:val="24"/>
        </w:rPr>
        <w:t xml:space="preserve">. In support of these centers, </w:t>
      </w:r>
      <w:proofErr w:type="spellStart"/>
      <w:r w:rsidRPr="003122A3">
        <w:rPr>
          <w:rFonts w:ascii="Times New Roman" w:hAnsi="Times New Roman" w:cs="Times New Roman"/>
          <w:sz w:val="24"/>
          <w:szCs w:val="24"/>
        </w:rPr>
        <w:t>MoSA</w:t>
      </w:r>
      <w:proofErr w:type="spellEnd"/>
      <w:r w:rsidRPr="003122A3">
        <w:rPr>
          <w:rFonts w:ascii="Times New Roman" w:hAnsi="Times New Roman" w:cs="Times New Roman"/>
          <w:sz w:val="24"/>
          <w:szCs w:val="24"/>
        </w:rPr>
        <w:t xml:space="preserve"> purchases services for children with disabilities and </w:t>
      </w:r>
      <w:proofErr w:type="spellStart"/>
      <w:r w:rsidRPr="003122A3">
        <w:rPr>
          <w:rFonts w:ascii="Times New Roman" w:hAnsi="Times New Roman" w:cs="Times New Roman"/>
          <w:sz w:val="24"/>
          <w:szCs w:val="24"/>
        </w:rPr>
        <w:t>referes</w:t>
      </w:r>
      <w:proofErr w:type="spellEnd"/>
      <w:r w:rsidRPr="003122A3">
        <w:rPr>
          <w:rFonts w:ascii="Times New Roman" w:hAnsi="Times New Roman" w:cs="Times New Roman"/>
          <w:sz w:val="24"/>
          <w:szCs w:val="24"/>
        </w:rPr>
        <w:t xml:space="preserve"> 130 disabled children to these centers. Their services include mainly rehabilitation of children with </w:t>
      </w:r>
      <w:proofErr w:type="spellStart"/>
      <w:r w:rsidRPr="003122A3">
        <w:rPr>
          <w:rFonts w:ascii="Times New Roman" w:hAnsi="Times New Roman" w:cs="Times New Roman"/>
          <w:sz w:val="24"/>
          <w:szCs w:val="24"/>
        </w:rPr>
        <w:t>sever</w:t>
      </w:r>
      <w:proofErr w:type="spellEnd"/>
      <w:r w:rsidRPr="003122A3">
        <w:rPr>
          <w:rFonts w:ascii="Times New Roman" w:hAnsi="Times New Roman" w:cs="Times New Roman"/>
          <w:sz w:val="24"/>
          <w:szCs w:val="24"/>
        </w:rPr>
        <w:t xml:space="preserve"> motor disabilities, moderate to minor mental disability. These centers apply the Move Method in learning and life skills, which aims to rehabilitate children with disability to speak, move, </w:t>
      </w:r>
      <w:r w:rsidR="00232EEA" w:rsidRPr="003122A3">
        <w:rPr>
          <w:rFonts w:ascii="Times New Roman" w:hAnsi="Times New Roman" w:cs="Times New Roman"/>
          <w:sz w:val="24"/>
          <w:szCs w:val="24"/>
        </w:rPr>
        <w:t>stand up and perform life skills.</w:t>
      </w:r>
    </w:p>
    <w:p w:rsidR="002D73AF" w:rsidRPr="003122A3" w:rsidRDefault="002D73AF" w:rsidP="002D73AF">
      <w:pPr>
        <w:spacing w:after="0" w:line="240" w:lineRule="auto"/>
        <w:jc w:val="both"/>
        <w:rPr>
          <w:rFonts w:ascii="Times New Roman" w:hAnsi="Times New Roman" w:cs="Times New Roman"/>
          <w:sz w:val="24"/>
          <w:szCs w:val="24"/>
          <w:rtl/>
        </w:rPr>
      </w:pPr>
    </w:p>
    <w:p w:rsidR="008C785D" w:rsidRPr="003122A3" w:rsidRDefault="00232EEA" w:rsidP="008E657F">
      <w:pPr>
        <w:jc w:val="both"/>
        <w:rPr>
          <w:rFonts w:ascii="Times New Roman" w:hAnsi="Times New Roman" w:cs="Times New Roman"/>
          <w:b/>
          <w:bCs/>
          <w:sz w:val="24"/>
          <w:szCs w:val="24"/>
          <w:rtl/>
        </w:rPr>
      </w:pPr>
      <w:r w:rsidRPr="003122A3">
        <w:rPr>
          <w:rFonts w:ascii="Times New Roman" w:hAnsi="Times New Roman" w:cs="Times New Roman"/>
          <w:b/>
          <w:bCs/>
          <w:sz w:val="24"/>
          <w:szCs w:val="24"/>
        </w:rPr>
        <w:t>Customs Exemptions</w:t>
      </w:r>
    </w:p>
    <w:p w:rsidR="00232EEA" w:rsidRDefault="00232EEA" w:rsidP="006F4B49">
      <w:pPr>
        <w:spacing w:after="0" w:line="240" w:lineRule="auto"/>
        <w:jc w:val="both"/>
        <w:rPr>
          <w:rFonts w:ascii="Times New Roman" w:hAnsi="Times New Roman" w:cs="Times New Roman"/>
          <w:sz w:val="24"/>
          <w:szCs w:val="24"/>
        </w:rPr>
      </w:pPr>
      <w:proofErr w:type="spellStart"/>
      <w:r w:rsidRPr="003122A3">
        <w:rPr>
          <w:rFonts w:ascii="Times New Roman" w:hAnsi="Times New Roman" w:cs="Times New Roman"/>
          <w:sz w:val="24"/>
          <w:szCs w:val="24"/>
        </w:rPr>
        <w:t>Executied</w:t>
      </w:r>
      <w:proofErr w:type="spellEnd"/>
      <w:r w:rsidR="00B4038E" w:rsidRPr="003122A3">
        <w:rPr>
          <w:rFonts w:ascii="Times New Roman" w:hAnsi="Times New Roman" w:cs="Times New Roman"/>
          <w:sz w:val="24"/>
          <w:szCs w:val="24"/>
        </w:rPr>
        <w:t xml:space="preserve"> regulation issued by Ministerial Council in 2006 and the amended regulation No (4) for the year 2010 exempts people with mo</w:t>
      </w:r>
      <w:r w:rsidR="006F4B49">
        <w:rPr>
          <w:rFonts w:ascii="Times New Roman" w:hAnsi="Times New Roman" w:cs="Times New Roman"/>
          <w:sz w:val="24"/>
          <w:szCs w:val="24"/>
        </w:rPr>
        <w:t>bility</w:t>
      </w:r>
      <w:r w:rsidR="00B4038E" w:rsidRPr="003122A3">
        <w:rPr>
          <w:rFonts w:ascii="Times New Roman" w:hAnsi="Times New Roman" w:cs="Times New Roman"/>
          <w:sz w:val="24"/>
          <w:szCs w:val="24"/>
        </w:rPr>
        <w:t xml:space="preserve"> disabilities from customs duties [on cars]; the number of children benefiting</w:t>
      </w:r>
      <w:r w:rsidR="00CC57C0" w:rsidRPr="003122A3">
        <w:rPr>
          <w:rFonts w:ascii="Times New Roman" w:hAnsi="Times New Roman" w:cs="Times New Roman"/>
          <w:sz w:val="24"/>
          <w:szCs w:val="24"/>
        </w:rPr>
        <w:t xml:space="preserve"> from this exemption in 2014 was 290 children with disabilities, knowing that either one of the parents drive on behalf of his/her children.</w:t>
      </w:r>
    </w:p>
    <w:p w:rsidR="002D73AF" w:rsidRPr="003122A3" w:rsidRDefault="002D73AF" w:rsidP="002D73AF">
      <w:pPr>
        <w:spacing w:after="0" w:line="240" w:lineRule="auto"/>
        <w:jc w:val="both"/>
        <w:rPr>
          <w:rFonts w:ascii="Times New Roman" w:hAnsi="Times New Roman" w:cs="Times New Roman"/>
          <w:sz w:val="24"/>
          <w:szCs w:val="24"/>
          <w:rtl/>
        </w:rPr>
      </w:pPr>
    </w:p>
    <w:p w:rsidR="008C785D" w:rsidRPr="003122A3" w:rsidRDefault="006B0006"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Support tools</w:t>
      </w:r>
    </w:p>
    <w:p w:rsidR="00CC57C0" w:rsidRPr="003122A3" w:rsidRDefault="00CC57C0" w:rsidP="002D73A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As part of its emergency programs, </w:t>
      </w:r>
      <w:proofErr w:type="spellStart"/>
      <w:r w:rsidRPr="003122A3">
        <w:rPr>
          <w:rFonts w:ascii="Times New Roman" w:hAnsi="Times New Roman" w:cs="Times New Roman"/>
          <w:sz w:val="24"/>
          <w:szCs w:val="24"/>
        </w:rPr>
        <w:t>MoSA</w:t>
      </w:r>
      <w:proofErr w:type="spellEnd"/>
      <w:r w:rsidRPr="003122A3">
        <w:rPr>
          <w:rFonts w:ascii="Times New Roman" w:hAnsi="Times New Roman" w:cs="Times New Roman"/>
          <w:sz w:val="24"/>
          <w:szCs w:val="24"/>
        </w:rPr>
        <w:t xml:space="preserve"> offers support tools to children with disability; in 2014, with funding from the Japanese Government, 100 wheel chairs were distributed to centers providing services to children with motor disability.</w:t>
      </w:r>
    </w:p>
    <w:p w:rsidR="009678E6" w:rsidRPr="003122A3" w:rsidRDefault="009678E6" w:rsidP="008E657F">
      <w:pPr>
        <w:jc w:val="both"/>
        <w:rPr>
          <w:rFonts w:ascii="Times New Roman" w:hAnsi="Times New Roman" w:cs="Times New Roman"/>
          <w:sz w:val="24"/>
          <w:szCs w:val="24"/>
        </w:rPr>
      </w:pPr>
    </w:p>
    <w:p w:rsidR="00F37CA5" w:rsidRPr="003122A3" w:rsidRDefault="00817A40" w:rsidP="00522631">
      <w:pPr>
        <w:pStyle w:val="Caption"/>
        <w:bidi w:val="0"/>
        <w:rPr>
          <w:b w:val="0"/>
          <w:bCs w:val="0"/>
          <w:sz w:val="22"/>
          <w:szCs w:val="22"/>
          <w:rtl/>
        </w:rPr>
      </w:pPr>
      <w:bookmarkStart w:id="101" w:name="_Toc420268254"/>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40</w:t>
      </w:r>
      <w:r w:rsidR="008F57C8" w:rsidRPr="003122A3">
        <w:rPr>
          <w:sz w:val="22"/>
          <w:szCs w:val="24"/>
        </w:rPr>
        <w:fldChar w:fldCharType="end"/>
      </w:r>
      <w:r w:rsidRPr="003122A3">
        <w:rPr>
          <w:sz w:val="22"/>
          <w:szCs w:val="24"/>
        </w:rPr>
        <w:t>: Distribution of Children with Disabilities in Educational Directorates in the West Bank</w:t>
      </w:r>
      <w:r w:rsidR="00522631">
        <w:rPr>
          <w:sz w:val="22"/>
          <w:szCs w:val="24"/>
        </w:rPr>
        <w:t xml:space="preserve"> b</w:t>
      </w:r>
      <w:r w:rsidRPr="003122A3">
        <w:rPr>
          <w:sz w:val="22"/>
          <w:szCs w:val="24"/>
        </w:rPr>
        <w:t>y Type of Disability and Year</w:t>
      </w:r>
      <w:bookmarkEnd w:id="101"/>
    </w:p>
    <w:p w:rsidR="00767AFB" w:rsidRPr="003122A3" w:rsidRDefault="00F00CD7" w:rsidP="005D0563">
      <w:pPr>
        <w:jc w:val="center"/>
        <w:rPr>
          <w:rFonts w:ascii="Times New Roman" w:hAnsi="Times New Roman" w:cs="Times New Roman"/>
          <w:sz w:val="24"/>
          <w:szCs w:val="24"/>
          <w:rtl/>
        </w:rPr>
      </w:pPr>
      <w:r w:rsidRPr="003122A3">
        <w:rPr>
          <w:rFonts w:ascii="Times New Roman" w:hAnsi="Times New Roman" w:cs="Times New Roman"/>
          <w:noProof/>
          <w:sz w:val="24"/>
          <w:szCs w:val="24"/>
          <w:rtl/>
        </w:rPr>
        <w:drawing>
          <wp:inline distT="0" distB="0" distL="0" distR="0">
            <wp:extent cx="6026150" cy="2714625"/>
            <wp:effectExtent l="19050" t="0" r="1270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CC57C0" w:rsidRPr="00363A7A" w:rsidRDefault="00CC57C0" w:rsidP="00B12AA1">
      <w:pPr>
        <w:pStyle w:val="Heading3"/>
        <w:bidi w:val="0"/>
        <w:rPr>
          <w:rFonts w:cs="Times New Roman"/>
          <w:b w:val="0"/>
          <w:bCs w:val="0"/>
          <w:sz w:val="18"/>
          <w:szCs w:val="18"/>
          <w:rtl/>
        </w:rPr>
      </w:pPr>
      <w:r w:rsidRPr="00363A7A">
        <w:rPr>
          <w:rFonts w:cs="Times New Roman"/>
          <w:b w:val="0"/>
          <w:bCs w:val="0"/>
          <w:sz w:val="18"/>
          <w:szCs w:val="18"/>
        </w:rPr>
        <w:t xml:space="preserve">Source: Ministry of Education and Higher Education, 2013, Statistical Yearbook for the academic year 2012/2013, Ramallah- </w:t>
      </w:r>
      <w:r w:rsidR="005D0563" w:rsidRPr="00363A7A">
        <w:rPr>
          <w:rFonts w:cs="Times New Roman"/>
          <w:b w:val="0"/>
          <w:bCs w:val="0"/>
          <w:sz w:val="18"/>
          <w:szCs w:val="18"/>
        </w:rPr>
        <w:t xml:space="preserve"> </w:t>
      </w:r>
      <w:r w:rsidRPr="00363A7A">
        <w:rPr>
          <w:rFonts w:cs="Times New Roman"/>
          <w:b w:val="0"/>
          <w:bCs w:val="0"/>
          <w:sz w:val="18"/>
          <w:szCs w:val="18"/>
        </w:rPr>
        <w:t>Palestine</w:t>
      </w:r>
    </w:p>
    <w:p w:rsidR="005D0563" w:rsidRPr="003122A3" w:rsidRDefault="005D0563" w:rsidP="009051DD">
      <w:pPr>
        <w:pStyle w:val="Caption"/>
        <w:bidi w:val="0"/>
        <w:jc w:val="both"/>
      </w:pPr>
      <w:bookmarkStart w:id="102" w:name="_Toc420268255"/>
    </w:p>
    <w:p w:rsidR="00CC57C0" w:rsidRPr="003122A3" w:rsidRDefault="009051DD" w:rsidP="005D0563">
      <w:pPr>
        <w:pStyle w:val="Caption"/>
        <w:bidi w:val="0"/>
        <w:rPr>
          <w:b w:val="0"/>
          <w:bCs w:val="0"/>
          <w:sz w:val="22"/>
          <w:szCs w:val="22"/>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41</w:t>
      </w:r>
      <w:r w:rsidR="008F57C8" w:rsidRPr="003122A3">
        <w:rPr>
          <w:sz w:val="22"/>
          <w:szCs w:val="24"/>
        </w:rPr>
        <w:fldChar w:fldCharType="end"/>
      </w:r>
      <w:r w:rsidRPr="003122A3">
        <w:rPr>
          <w:sz w:val="22"/>
          <w:szCs w:val="24"/>
        </w:rPr>
        <w:t>:  Distribution of Children with Disabilities in Educational Directorates in the West Bank by Type of Disability and Year</w:t>
      </w:r>
      <w:bookmarkEnd w:id="102"/>
    </w:p>
    <w:p w:rsidR="00CC57C0" w:rsidRPr="003122A3" w:rsidRDefault="001C28FC" w:rsidP="008E657F">
      <w:pPr>
        <w:jc w:val="both"/>
        <w:rPr>
          <w:rFonts w:ascii="Times New Roman" w:hAnsi="Times New Roman" w:cs="Times New Roman"/>
          <w:sz w:val="24"/>
          <w:szCs w:val="24"/>
        </w:rPr>
      </w:pPr>
      <w:r w:rsidRPr="003122A3">
        <w:rPr>
          <w:rFonts w:ascii="Times New Roman" w:hAnsi="Times New Roman" w:cs="Times New Roman"/>
          <w:noProof/>
          <w:sz w:val="24"/>
          <w:szCs w:val="24"/>
        </w:rPr>
        <w:drawing>
          <wp:inline distT="0" distB="0" distL="0" distR="0">
            <wp:extent cx="5690345" cy="1916264"/>
            <wp:effectExtent l="19050" t="0" r="24655" b="7786"/>
            <wp:docPr id="4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CC57C0" w:rsidRPr="003122A3" w:rsidRDefault="003D3C44" w:rsidP="005D0563">
      <w:pPr>
        <w:jc w:val="both"/>
        <w:rPr>
          <w:rFonts w:ascii="Times New Roman" w:hAnsi="Times New Roman" w:cs="Times New Roman"/>
          <w:sz w:val="24"/>
          <w:szCs w:val="24"/>
          <w:rtl/>
        </w:rPr>
      </w:pPr>
      <w:r w:rsidRPr="003122A3">
        <w:rPr>
          <w:rFonts w:ascii="Times New Roman" w:hAnsi="Times New Roman" w:cs="Times New Roman"/>
          <w:sz w:val="18"/>
          <w:szCs w:val="18"/>
          <w:rtl/>
        </w:rPr>
        <w:t xml:space="preserve"> </w:t>
      </w:r>
      <w:r w:rsidR="005D0563" w:rsidRPr="003122A3">
        <w:rPr>
          <w:rFonts w:ascii="Times New Roman" w:hAnsi="Times New Roman" w:cs="Times New Roman"/>
          <w:sz w:val="18"/>
          <w:szCs w:val="18"/>
        </w:rPr>
        <w:t>S</w:t>
      </w:r>
      <w:r w:rsidR="00CC57C0" w:rsidRPr="003122A3">
        <w:rPr>
          <w:rFonts w:ascii="Times New Roman" w:hAnsi="Times New Roman" w:cs="Times New Roman"/>
          <w:sz w:val="18"/>
          <w:szCs w:val="18"/>
        </w:rPr>
        <w:t xml:space="preserve">ource: Ministry of Education and Higher Education, 2013, Statistical Yearbook for the academic year 2012/2013, Ramallah - </w:t>
      </w:r>
      <w:r w:rsidR="005D0563" w:rsidRPr="003122A3">
        <w:rPr>
          <w:rFonts w:ascii="Times New Roman" w:hAnsi="Times New Roman" w:cs="Times New Roman"/>
          <w:sz w:val="18"/>
          <w:szCs w:val="18"/>
        </w:rPr>
        <w:t xml:space="preserve"> </w:t>
      </w:r>
      <w:r w:rsidR="00CC57C0" w:rsidRPr="003122A3">
        <w:rPr>
          <w:rFonts w:ascii="Times New Roman" w:hAnsi="Times New Roman" w:cs="Times New Roman"/>
          <w:sz w:val="18"/>
          <w:szCs w:val="18"/>
        </w:rPr>
        <w:t>Palestine</w:t>
      </w:r>
    </w:p>
    <w:p w:rsidR="001D013D" w:rsidRPr="003122A3" w:rsidRDefault="001D013D" w:rsidP="002D73AF">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 xml:space="preserve">The rate of enrollment of students with disabilities in education in the West Bank has remained </w:t>
      </w:r>
      <w:proofErr w:type="spellStart"/>
      <w:r w:rsidRPr="003122A3">
        <w:rPr>
          <w:rFonts w:ascii="Times New Roman" w:hAnsi="Times New Roman" w:cs="Times New Roman"/>
          <w:sz w:val="24"/>
          <w:szCs w:val="24"/>
        </w:rPr>
        <w:t>realtively</w:t>
      </w:r>
      <w:proofErr w:type="spellEnd"/>
      <w:r w:rsidRPr="003122A3">
        <w:rPr>
          <w:rFonts w:ascii="Times New Roman" w:hAnsi="Times New Roman" w:cs="Times New Roman"/>
          <w:sz w:val="24"/>
          <w:szCs w:val="24"/>
        </w:rPr>
        <w:t xml:space="preserve"> stable over the past four years (4,897 in 2009/2010 to 5,702 in 2012/2013). As children with severe mental disabilities are not integrated into the educational system and educational resources rooms serve students only until fourth grade, children who suffer from moderate to severe mental disability are effective excluded from the educational system due to lack of capacity and financial and specialized human resources required to deal with them.</w:t>
      </w:r>
    </w:p>
    <w:p w:rsidR="001D013D" w:rsidRDefault="00A91E3A" w:rsidP="002D73A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In Gaza Strip</w:t>
      </w:r>
      <w:r w:rsidR="001D013D" w:rsidRPr="003122A3">
        <w:rPr>
          <w:rFonts w:ascii="Times New Roman" w:hAnsi="Times New Roman" w:cs="Times New Roman"/>
          <w:sz w:val="24"/>
          <w:szCs w:val="24"/>
        </w:rPr>
        <w:t>, 3,816 students with disabilities were integrated into public schools in 2012/2013. Disabilities were most frequently speech impediments (41.6%), followed by visual impairments (20.9%), hearing loss (19.6%), physical/motor disabilities (17.6%), and Down’s Syndrome (0.3%).</w:t>
      </w:r>
      <w:r w:rsidR="001D013D" w:rsidRPr="003122A3">
        <w:rPr>
          <w:rStyle w:val="FootnoteReference"/>
          <w:rFonts w:ascii="Times New Roman" w:hAnsi="Times New Roman" w:cs="Times New Roman"/>
          <w:sz w:val="24"/>
          <w:szCs w:val="24"/>
        </w:rPr>
        <w:footnoteReference w:id="57"/>
      </w:r>
    </w:p>
    <w:p w:rsidR="002D73AF" w:rsidRPr="003122A3" w:rsidRDefault="002D73AF" w:rsidP="002D73AF">
      <w:pPr>
        <w:spacing w:after="0" w:line="240" w:lineRule="auto"/>
        <w:jc w:val="both"/>
        <w:rPr>
          <w:rFonts w:ascii="Times New Roman" w:hAnsi="Times New Roman" w:cs="Times New Roman"/>
          <w:sz w:val="24"/>
          <w:szCs w:val="24"/>
        </w:rPr>
      </w:pPr>
    </w:p>
    <w:p w:rsidR="001D013D" w:rsidRPr="003122A3" w:rsidRDefault="00911B45" w:rsidP="005D0563">
      <w:pPr>
        <w:pStyle w:val="Caption"/>
        <w:bidi w:val="0"/>
        <w:rPr>
          <w:b w:val="0"/>
          <w:bCs w:val="0"/>
          <w:sz w:val="22"/>
          <w:szCs w:val="22"/>
        </w:rPr>
      </w:pPr>
      <w:bookmarkStart w:id="103" w:name="_Toc420268256"/>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42</w:t>
      </w:r>
      <w:r w:rsidR="008F57C8" w:rsidRPr="003122A3">
        <w:rPr>
          <w:sz w:val="22"/>
          <w:szCs w:val="24"/>
        </w:rPr>
        <w:fldChar w:fldCharType="end"/>
      </w:r>
      <w:r w:rsidRPr="003122A3">
        <w:rPr>
          <w:sz w:val="22"/>
          <w:szCs w:val="24"/>
        </w:rPr>
        <w:t>: Number of Students with Disabilities Integrated Into Government Schools in Gaza by Type of Disability 2012</w:t>
      </w:r>
      <w:bookmarkEnd w:id="103"/>
    </w:p>
    <w:p w:rsidR="001D013D" w:rsidRPr="003122A3" w:rsidRDefault="001D013D" w:rsidP="005D0563">
      <w:pPr>
        <w:jc w:val="center"/>
        <w:rPr>
          <w:rFonts w:ascii="Times New Roman" w:hAnsi="Times New Roman" w:cs="Times New Roman"/>
          <w:sz w:val="24"/>
          <w:szCs w:val="24"/>
        </w:rPr>
      </w:pPr>
      <w:r w:rsidRPr="003122A3">
        <w:rPr>
          <w:rFonts w:ascii="Times New Roman" w:hAnsi="Times New Roman" w:cs="Times New Roman"/>
          <w:noProof/>
          <w:sz w:val="24"/>
          <w:szCs w:val="24"/>
        </w:rPr>
        <w:drawing>
          <wp:inline distT="0" distB="0" distL="0" distR="0">
            <wp:extent cx="5623524" cy="2639683"/>
            <wp:effectExtent l="19050" t="0" r="15276" b="8267"/>
            <wp:docPr id="141"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1D013D" w:rsidRPr="003122A3" w:rsidRDefault="001D013D" w:rsidP="008E657F">
      <w:pPr>
        <w:jc w:val="both"/>
        <w:rPr>
          <w:rFonts w:ascii="Times New Roman" w:hAnsi="Times New Roman" w:cs="Times New Roman"/>
          <w:sz w:val="18"/>
          <w:szCs w:val="18"/>
        </w:rPr>
      </w:pPr>
      <w:r w:rsidRPr="003122A3">
        <w:rPr>
          <w:rFonts w:ascii="Times New Roman" w:hAnsi="Times New Roman" w:cs="Times New Roman"/>
          <w:sz w:val="18"/>
          <w:szCs w:val="18"/>
        </w:rPr>
        <w:t>Source: Ministry of Education and Higher Education, Statistical Yearbook. General Administration for Educational Planning. Gaza 2012-2013.</w:t>
      </w:r>
    </w:p>
    <w:p w:rsidR="001D013D" w:rsidRDefault="001D013D" w:rsidP="002D73A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 number of students with disabilities integrated into public education in Gaza doubled from 1,694 students in 2007 to 3,816 students in 2012. There are 89 special education employees.</w:t>
      </w:r>
    </w:p>
    <w:p w:rsidR="002D73AF" w:rsidRPr="003122A3" w:rsidRDefault="002D73AF" w:rsidP="002D73AF">
      <w:pPr>
        <w:spacing w:after="0" w:line="240" w:lineRule="auto"/>
        <w:jc w:val="both"/>
        <w:rPr>
          <w:rFonts w:ascii="Times New Roman" w:hAnsi="Times New Roman" w:cs="Times New Roman"/>
          <w:sz w:val="24"/>
          <w:szCs w:val="24"/>
        </w:rPr>
      </w:pPr>
    </w:p>
    <w:p w:rsidR="001D013D" w:rsidRPr="003122A3" w:rsidRDefault="001D013D" w:rsidP="008E657F">
      <w:pPr>
        <w:jc w:val="both"/>
        <w:rPr>
          <w:rFonts w:ascii="Times New Roman" w:hAnsi="Times New Roman" w:cs="Times New Roman"/>
          <w:b/>
          <w:bCs/>
          <w:sz w:val="24"/>
          <w:szCs w:val="24"/>
        </w:rPr>
      </w:pPr>
      <w:r w:rsidRPr="003122A3">
        <w:rPr>
          <w:rFonts w:ascii="Times New Roman" w:hAnsi="Times New Roman" w:cs="Times New Roman"/>
          <w:b/>
          <w:bCs/>
          <w:sz w:val="24"/>
          <w:szCs w:val="24"/>
        </w:rPr>
        <w:t>Accessibility and Adaptations for Children with Disabilities in Schools</w:t>
      </w:r>
    </w:p>
    <w:p w:rsidR="001D013D" w:rsidRPr="003122A3" w:rsidRDefault="001D013D" w:rsidP="002D73AF">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54.6% of schools in the West Bank and Gaza have adaptations for students with disabilities in terms of appropriate toilets and 44.0% have ramps. More public and UNRWA schools than private schools have these adaptations. Although half of the schools have appropriate toilets and ramps for children with motor disabilities, there are other types of disabilities that require special adaptations that are not available in schools. These include special transportation and classroom accessibility.</w:t>
      </w:r>
    </w:p>
    <w:p w:rsidR="009678E6" w:rsidRPr="003122A3" w:rsidRDefault="009678E6" w:rsidP="005D0563">
      <w:pPr>
        <w:pStyle w:val="Caption"/>
        <w:bidi w:val="0"/>
      </w:pPr>
      <w:bookmarkStart w:id="104" w:name="_Toc420268257"/>
    </w:p>
    <w:p w:rsidR="009678E6" w:rsidRPr="003122A3" w:rsidRDefault="009678E6" w:rsidP="009678E6">
      <w:pPr>
        <w:pStyle w:val="Caption"/>
        <w:bidi w:val="0"/>
      </w:pPr>
    </w:p>
    <w:p w:rsidR="00911B45" w:rsidRPr="003122A3" w:rsidRDefault="00911B45" w:rsidP="009678E6">
      <w:pPr>
        <w:pStyle w:val="Caption"/>
        <w:bidi w:val="0"/>
        <w:rPr>
          <w:sz w:val="22"/>
          <w:szCs w:val="22"/>
        </w:rPr>
      </w:pPr>
      <w:r w:rsidRPr="003122A3">
        <w:rPr>
          <w:sz w:val="22"/>
          <w:szCs w:val="22"/>
        </w:rPr>
        <w:t>Figure</w:t>
      </w:r>
      <w:r w:rsidR="009678E6"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43</w:t>
      </w:r>
      <w:r w:rsidR="008F57C8" w:rsidRPr="003122A3">
        <w:rPr>
          <w:sz w:val="22"/>
          <w:szCs w:val="22"/>
          <w:rtl/>
        </w:rPr>
        <w:fldChar w:fldCharType="end"/>
      </w:r>
      <w:r w:rsidRPr="003122A3">
        <w:rPr>
          <w:sz w:val="22"/>
          <w:szCs w:val="22"/>
        </w:rPr>
        <w:t>: Percentage of Schools with Ramps 2011/2012 – 2012/2013</w:t>
      </w:r>
      <w:bookmarkEnd w:id="104"/>
    </w:p>
    <w:p w:rsidR="00056575" w:rsidRPr="003122A3" w:rsidRDefault="00056575" w:rsidP="005D0563">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490596" cy="2234317"/>
            <wp:effectExtent l="19050" t="0" r="14854"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2B3369" w:rsidRPr="003122A3" w:rsidRDefault="005D0563" w:rsidP="00677FAD">
      <w:pPr>
        <w:jc w:val="both"/>
        <w:rPr>
          <w:rFonts w:ascii="Times New Roman" w:hAnsi="Times New Roman" w:cs="Times New Roman"/>
          <w:sz w:val="18"/>
          <w:szCs w:val="18"/>
          <w:rtl/>
        </w:rPr>
      </w:pPr>
      <w:r w:rsidRPr="003122A3">
        <w:rPr>
          <w:rFonts w:ascii="Times New Roman" w:hAnsi="Times New Roman" w:cs="Times New Roman"/>
          <w:sz w:val="18"/>
          <w:szCs w:val="18"/>
        </w:rPr>
        <w:t xml:space="preserve">               </w:t>
      </w:r>
      <w:r w:rsidR="00677FAD" w:rsidRPr="003122A3">
        <w:rPr>
          <w:rFonts w:ascii="Times New Roman" w:hAnsi="Times New Roman" w:cs="Times New Roman"/>
          <w:sz w:val="18"/>
          <w:szCs w:val="18"/>
        </w:rPr>
        <w:t xml:space="preserve">Source: Ministry of Education 2014, Statistics Year Book, Academic Year 2012/2013 </w:t>
      </w:r>
      <w:r w:rsidR="00677FAD" w:rsidRPr="003122A3">
        <w:rPr>
          <w:rFonts w:ascii="Times New Roman" w:hAnsi="Times New Roman" w:cs="Times New Roman"/>
          <w:sz w:val="18"/>
          <w:szCs w:val="18"/>
          <w:rtl/>
        </w:rPr>
        <w:t xml:space="preserve">         .</w:t>
      </w:r>
    </w:p>
    <w:p w:rsidR="00097477" w:rsidRPr="003122A3" w:rsidRDefault="00911B45" w:rsidP="00F02099">
      <w:pPr>
        <w:pStyle w:val="Caption"/>
        <w:bidi w:val="0"/>
        <w:rPr>
          <w:b w:val="0"/>
          <w:bCs w:val="0"/>
          <w:sz w:val="22"/>
          <w:szCs w:val="22"/>
          <w:rtl/>
        </w:rPr>
      </w:pPr>
      <w:bookmarkStart w:id="105" w:name="_Toc420268258"/>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44</w:t>
      </w:r>
      <w:r w:rsidR="008F57C8" w:rsidRPr="003122A3">
        <w:rPr>
          <w:sz w:val="22"/>
          <w:szCs w:val="24"/>
        </w:rPr>
        <w:fldChar w:fldCharType="end"/>
      </w:r>
      <w:r w:rsidRPr="003122A3">
        <w:rPr>
          <w:sz w:val="22"/>
          <w:szCs w:val="24"/>
        </w:rPr>
        <w:t>: Percentage of Schools wh</w:t>
      </w:r>
      <w:r w:rsidR="002E6B44">
        <w:rPr>
          <w:sz w:val="22"/>
          <w:szCs w:val="24"/>
        </w:rPr>
        <w:t>e</w:t>
      </w:r>
      <w:r w:rsidRPr="003122A3">
        <w:rPr>
          <w:sz w:val="22"/>
          <w:szCs w:val="24"/>
        </w:rPr>
        <w:t>re Accessible Toilets are Available for Children with Disabilities 201</w:t>
      </w:r>
      <w:r w:rsidR="00F02099">
        <w:rPr>
          <w:sz w:val="22"/>
          <w:szCs w:val="24"/>
        </w:rPr>
        <w:t>1</w:t>
      </w:r>
      <w:r w:rsidRPr="003122A3">
        <w:rPr>
          <w:sz w:val="22"/>
          <w:szCs w:val="24"/>
        </w:rPr>
        <w:t>/201</w:t>
      </w:r>
      <w:bookmarkEnd w:id="105"/>
      <w:r w:rsidR="00F02099">
        <w:rPr>
          <w:sz w:val="22"/>
          <w:szCs w:val="24"/>
        </w:rPr>
        <w:t>2</w:t>
      </w:r>
      <w:r w:rsidR="00AB67E3" w:rsidRPr="003122A3">
        <w:rPr>
          <w:sz w:val="22"/>
          <w:szCs w:val="22"/>
        </w:rPr>
        <w:t>– 2012/2013</w:t>
      </w:r>
    </w:p>
    <w:p w:rsidR="003040AE" w:rsidRPr="003122A3" w:rsidRDefault="003040AE" w:rsidP="005D0563">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473065" cy="2219325"/>
            <wp:effectExtent l="19050" t="0" r="13335" b="0"/>
            <wp:docPr id="23"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9E516C" w:rsidRPr="003122A3" w:rsidRDefault="005D0563" w:rsidP="00677FAD">
      <w:pPr>
        <w:jc w:val="both"/>
        <w:rPr>
          <w:rFonts w:ascii="Times New Roman" w:hAnsi="Times New Roman" w:cs="Times New Roman"/>
          <w:sz w:val="18"/>
          <w:szCs w:val="18"/>
          <w:rtl/>
        </w:rPr>
      </w:pPr>
      <w:r w:rsidRPr="003122A3">
        <w:rPr>
          <w:rFonts w:ascii="Times New Roman" w:hAnsi="Times New Roman" w:cs="Times New Roman"/>
          <w:sz w:val="18"/>
          <w:szCs w:val="18"/>
        </w:rPr>
        <w:t xml:space="preserve">             </w:t>
      </w:r>
      <w:r w:rsidR="00677FAD" w:rsidRPr="003122A3">
        <w:rPr>
          <w:rFonts w:ascii="Times New Roman" w:hAnsi="Times New Roman" w:cs="Times New Roman"/>
          <w:sz w:val="18"/>
          <w:szCs w:val="18"/>
        </w:rPr>
        <w:t xml:space="preserve">Source: Ministry of Education 2014, Statistics Year Book, Academic Year 2012/2013 </w:t>
      </w:r>
      <w:r w:rsidR="006266B0" w:rsidRPr="003122A3">
        <w:rPr>
          <w:rFonts w:ascii="Times New Roman" w:hAnsi="Times New Roman" w:cs="Times New Roman"/>
          <w:sz w:val="18"/>
          <w:szCs w:val="18"/>
          <w:rtl/>
        </w:rPr>
        <w:t xml:space="preserve">         .</w:t>
      </w:r>
    </w:p>
    <w:p w:rsidR="007A418A" w:rsidRPr="003122A3" w:rsidRDefault="007A418A" w:rsidP="002D73AF">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While the Ministry of Education issued a decision to adapt all new schools for children with disabilities over seven years ago, and although the legal framework exists, with a special program on inclusive education since 1997, it is still necessary to better serve children with mental disabilities. A national strategy is needed for inclusive education to identify children with disabilities who are not enrolled in any formal educational system or in private rehabilitation institution.</w:t>
      </w:r>
    </w:p>
    <w:p w:rsidR="007A418A" w:rsidRDefault="007A418A" w:rsidP="002D73A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Specialized resource rooms in the West Bank and Jerusalem: There are 82 rooms equipped with educational tools and professional teachers. There are 45 resource rooms in the West Bank and Jerusalem, but they do not have any staff. There are 40 resource rooms in Gaza Strip: 10 rooms equipped with specialized professionals and 30 equipped with resources and equipment but without any teachers. There are 22 integrated compacted rooms.</w:t>
      </w:r>
    </w:p>
    <w:p w:rsidR="002D73AF" w:rsidRPr="003122A3" w:rsidRDefault="002D73AF" w:rsidP="002D73AF">
      <w:pPr>
        <w:spacing w:after="0" w:line="240" w:lineRule="auto"/>
        <w:jc w:val="both"/>
        <w:rPr>
          <w:rFonts w:ascii="Times New Roman" w:hAnsi="Times New Roman" w:cs="Times New Roman"/>
          <w:b/>
          <w:bCs/>
          <w:sz w:val="24"/>
          <w:szCs w:val="24"/>
        </w:rPr>
      </w:pPr>
    </w:p>
    <w:p w:rsidR="007A418A" w:rsidRDefault="007A418A" w:rsidP="002D73A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There are 32 specialist professional staff at the Ministry of Education in the West Bank, including 3 supervisors who oversee 16 directorates.</w:t>
      </w:r>
      <w:r w:rsidRPr="003122A3">
        <w:rPr>
          <w:rStyle w:val="FootnoteReference"/>
          <w:rFonts w:ascii="Times New Roman" w:hAnsi="Times New Roman" w:cs="Times New Roman"/>
          <w:sz w:val="24"/>
          <w:szCs w:val="24"/>
        </w:rPr>
        <w:footnoteReference w:id="58"/>
      </w:r>
    </w:p>
    <w:p w:rsidR="002D73AF" w:rsidRPr="003122A3" w:rsidRDefault="002D73AF" w:rsidP="002D73AF">
      <w:pPr>
        <w:spacing w:after="0" w:line="240" w:lineRule="auto"/>
        <w:jc w:val="both"/>
        <w:rPr>
          <w:rFonts w:ascii="Times New Roman" w:hAnsi="Times New Roman" w:cs="Times New Roman"/>
          <w:sz w:val="24"/>
          <w:szCs w:val="24"/>
        </w:rPr>
      </w:pPr>
    </w:p>
    <w:p w:rsidR="007A418A" w:rsidRPr="003122A3" w:rsidRDefault="007A418A" w:rsidP="002D73AF">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 xml:space="preserve">In the West Bank, there  are 6,461 children with disabilities who receive cash assistance; 4,030 suffer from a chronic illness as well as a disability. </w:t>
      </w:r>
      <w:r w:rsidR="00A91E3A">
        <w:rPr>
          <w:rFonts w:ascii="Times New Roman" w:hAnsi="Times New Roman" w:cs="Times New Roman"/>
          <w:sz w:val="24"/>
          <w:szCs w:val="24"/>
        </w:rPr>
        <w:t>In Gaza Strip</w:t>
      </w:r>
      <w:r w:rsidRPr="003122A3">
        <w:rPr>
          <w:rFonts w:ascii="Times New Roman" w:hAnsi="Times New Roman" w:cs="Times New Roman"/>
          <w:sz w:val="24"/>
          <w:szCs w:val="24"/>
        </w:rPr>
        <w:t>, 7,979 children receive cash assistance; 2,712 suffer from both a chronic illness and a disability.</w:t>
      </w:r>
    </w:p>
    <w:p w:rsidR="00BC5DA6" w:rsidRPr="003122A3" w:rsidRDefault="00BC5DA6" w:rsidP="008E657F">
      <w:pPr>
        <w:jc w:val="both"/>
        <w:rPr>
          <w:rFonts w:ascii="Times New Roman" w:hAnsi="Times New Roman" w:cs="Times New Roman"/>
          <w:sz w:val="2"/>
          <w:szCs w:val="2"/>
          <w:rtl/>
        </w:rPr>
      </w:pPr>
    </w:p>
    <w:p w:rsidR="007A418A" w:rsidRDefault="007A418A" w:rsidP="002D73A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Gains are being made in the provision of an enabling environment for children with disabilities and in terms of increased awareness of the rights of children with disabilities. The efforts of Palestinian institutions deserve appreciation in light of the existing political conditions and the scarcity of resources. Nevertheless, further efforts are needed in order to both protect children with disabilities and allow them greater independence so that they have the opportunity to maximize their potential. Staffing can be a problem, as social workers are sometimes appointed and then reassigned. There are also difficulties with the classification of disabilities. Some institutions use the international classifications, while others use an outdated system from 1958. </w:t>
      </w:r>
    </w:p>
    <w:p w:rsidR="002D73AF" w:rsidRPr="003122A3" w:rsidRDefault="002D73AF" w:rsidP="002D73AF">
      <w:pPr>
        <w:spacing w:after="0" w:line="240" w:lineRule="auto"/>
        <w:jc w:val="both"/>
        <w:rPr>
          <w:rFonts w:ascii="Times New Roman" w:hAnsi="Times New Roman" w:cs="Times New Roman"/>
          <w:sz w:val="24"/>
          <w:szCs w:val="24"/>
        </w:rPr>
      </w:pPr>
    </w:p>
    <w:p w:rsidR="007A418A" w:rsidRPr="003122A3" w:rsidRDefault="007A418A" w:rsidP="002D73AF">
      <w:pPr>
        <w:spacing w:after="360" w:line="240" w:lineRule="auto"/>
        <w:jc w:val="both"/>
        <w:rPr>
          <w:rFonts w:ascii="Times New Roman" w:hAnsi="Times New Roman" w:cs="Times New Roman"/>
          <w:sz w:val="24"/>
          <w:szCs w:val="24"/>
        </w:rPr>
      </w:pPr>
      <w:r w:rsidRPr="003122A3">
        <w:rPr>
          <w:rFonts w:ascii="Times New Roman" w:hAnsi="Times New Roman" w:cs="Times New Roman"/>
          <w:sz w:val="24"/>
          <w:szCs w:val="24"/>
        </w:rPr>
        <w:t>Most Palestinian governmental institutions do not allocate an item in the budget to provide assistive devices for people with disabilities. As a result, access to such devices usually depends on the availability of funding, which may be conditional. This issue also impacts on the sustainability of resource rooms, some of which have been closed due to the lack of financial and human resources. Despite serious attempts to integrate children with disabilities, the issue is more complex than simply adding ramps or some adaptations. Specialized professional personnel and equipment are urgently required, and some of the obstacles in terms of government regulations and systems need to be addressed. For example, if an overcrowded classroom is a problem to a student without any impairment, it will be a bigger problem to a student with a disability, especially in the absence of an assistant teacher in the classroom. The curriculum is often inappropriate to the situation of the student, especially in the absence of qualified professional teachers and specialists. The government should work with Palestinian universities to provide appropriate specializations and add social work in schools to university programs, especially in the schools which have children with disabilities, in order to support and assist teachers and students.</w:t>
      </w:r>
    </w:p>
    <w:p w:rsidR="00BC751E" w:rsidRPr="003122A3" w:rsidRDefault="00BC751E" w:rsidP="008E657F">
      <w:pPr>
        <w:jc w:val="both"/>
        <w:rPr>
          <w:rFonts w:ascii="Times New Roman" w:hAnsi="Times New Roman" w:cs="Times New Roman"/>
          <w:sz w:val="24"/>
          <w:szCs w:val="24"/>
          <w:rtl/>
        </w:rPr>
      </w:pPr>
    </w:p>
    <w:p w:rsidR="00677FAD" w:rsidRPr="003122A3" w:rsidRDefault="00677FAD">
      <w:pPr>
        <w:rPr>
          <w:rFonts w:ascii="Times New Roman" w:hAnsi="Times New Roman" w:cs="Times New Roman"/>
          <w:sz w:val="24"/>
          <w:szCs w:val="24"/>
        </w:rPr>
      </w:pPr>
      <w:r w:rsidRPr="003122A3">
        <w:rPr>
          <w:rFonts w:ascii="Times New Roman" w:hAnsi="Times New Roman" w:cs="Times New Roman"/>
          <w:sz w:val="24"/>
          <w:szCs w:val="24"/>
        </w:rPr>
        <w:br w:type="page"/>
      </w:r>
    </w:p>
    <w:p w:rsidR="00796B8D" w:rsidRPr="00833BD7" w:rsidRDefault="007A418A" w:rsidP="00677FAD">
      <w:pPr>
        <w:pStyle w:val="Heading1"/>
        <w:jc w:val="center"/>
        <w:rPr>
          <w:rFonts w:ascii="Times New Roman" w:hAnsi="Times New Roman" w:cs="Times New Roman"/>
          <w:b w:val="0"/>
          <w:bCs w:val="0"/>
          <w:color w:val="auto"/>
          <w:sz w:val="24"/>
          <w:szCs w:val="24"/>
          <w:rtl/>
        </w:rPr>
      </w:pPr>
      <w:bookmarkStart w:id="106" w:name="_Toc420245007"/>
      <w:r w:rsidRPr="00833BD7">
        <w:rPr>
          <w:rFonts w:ascii="Times New Roman" w:hAnsi="Times New Roman" w:cs="Times New Roman"/>
          <w:b w:val="0"/>
          <w:bCs w:val="0"/>
          <w:color w:val="auto"/>
          <w:sz w:val="24"/>
          <w:szCs w:val="24"/>
        </w:rPr>
        <w:t>Chapter Seven</w:t>
      </w:r>
      <w:bookmarkEnd w:id="106"/>
    </w:p>
    <w:p w:rsidR="001C28FC" w:rsidRPr="003122A3" w:rsidRDefault="007A418A" w:rsidP="00677FAD">
      <w:pPr>
        <w:pStyle w:val="Heading1"/>
        <w:jc w:val="center"/>
        <w:rPr>
          <w:rFonts w:ascii="Times New Roman" w:hAnsi="Times New Roman" w:cs="Times New Roman"/>
          <w:color w:val="auto"/>
        </w:rPr>
      </w:pPr>
      <w:bookmarkStart w:id="107" w:name="_Toc420245008"/>
      <w:r w:rsidRPr="003122A3">
        <w:rPr>
          <w:rFonts w:ascii="Times New Roman" w:hAnsi="Times New Roman" w:cs="Times New Roman"/>
          <w:color w:val="auto"/>
        </w:rPr>
        <w:t>Children and the IT Society</w:t>
      </w:r>
      <w:bookmarkEnd w:id="107"/>
    </w:p>
    <w:p w:rsidR="00677FAD" w:rsidRPr="003122A3" w:rsidRDefault="00677FAD" w:rsidP="00677FAD">
      <w:pPr>
        <w:jc w:val="both"/>
        <w:rPr>
          <w:rFonts w:ascii="Times New Roman" w:hAnsi="Times New Roman" w:cs="Times New Roman"/>
          <w:sz w:val="24"/>
          <w:szCs w:val="24"/>
        </w:rPr>
      </w:pPr>
    </w:p>
    <w:p w:rsidR="007A418A" w:rsidRDefault="007A418A" w:rsidP="0025385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Data from the Household Culture Survey conducted by PCBS in 2014 showed that 97.0% of households apply preventive measures to protect their children from the Internet as per the following table:</w:t>
      </w:r>
    </w:p>
    <w:p w:rsidR="0025385E" w:rsidRPr="003122A3" w:rsidRDefault="0025385E" w:rsidP="0025385E">
      <w:pPr>
        <w:spacing w:after="0" w:line="240" w:lineRule="auto"/>
        <w:jc w:val="both"/>
        <w:rPr>
          <w:rFonts w:ascii="Times New Roman" w:hAnsi="Times New Roman" w:cs="Times New Roman"/>
          <w:sz w:val="24"/>
          <w:szCs w:val="24"/>
          <w:rtl/>
        </w:rPr>
      </w:pPr>
    </w:p>
    <w:p w:rsidR="00223EDB" w:rsidRPr="003122A3" w:rsidRDefault="00223EDB" w:rsidP="008F3523">
      <w:pPr>
        <w:pStyle w:val="Caption"/>
        <w:keepNext/>
        <w:bidi w:val="0"/>
        <w:rPr>
          <w:sz w:val="22"/>
          <w:szCs w:val="22"/>
        </w:rPr>
      </w:pPr>
      <w:bookmarkStart w:id="108" w:name="_Toc420269311"/>
      <w:r w:rsidRPr="003122A3">
        <w:rPr>
          <w:sz w:val="22"/>
          <w:szCs w:val="22"/>
        </w:rPr>
        <w:t>Table</w:t>
      </w:r>
      <w:r w:rsidR="00F51445"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13</w:t>
      </w:r>
      <w:r w:rsidR="008F57C8" w:rsidRPr="003122A3">
        <w:rPr>
          <w:sz w:val="22"/>
          <w:szCs w:val="22"/>
          <w:rtl/>
        </w:rPr>
        <w:fldChar w:fldCharType="end"/>
      </w:r>
      <w:r w:rsidRPr="003122A3">
        <w:rPr>
          <w:sz w:val="22"/>
          <w:szCs w:val="22"/>
        </w:rPr>
        <w:t xml:space="preserve">:Percentage of Households Applying Preventive Measures to Protect their Children (aged 5-17 years) from the Internet </w:t>
      </w:r>
      <w:r w:rsidR="008F3523">
        <w:rPr>
          <w:sz w:val="22"/>
          <w:szCs w:val="22"/>
        </w:rPr>
        <w:t>by</w:t>
      </w:r>
      <w:r w:rsidRPr="003122A3">
        <w:rPr>
          <w:sz w:val="22"/>
          <w:szCs w:val="22"/>
        </w:rPr>
        <w:t xml:space="preserve"> Type of Procedure and Region, 2014</w:t>
      </w:r>
      <w:bookmarkEnd w:id="108"/>
    </w:p>
    <w:tbl>
      <w:tblPr>
        <w:tblStyle w:val="LightShading-Accent11"/>
        <w:tblW w:w="0" w:type="auto"/>
        <w:tblInd w:w="250" w:type="dxa"/>
        <w:tblLook w:val="04A0"/>
      </w:tblPr>
      <w:tblGrid>
        <w:gridCol w:w="4785"/>
        <w:gridCol w:w="1710"/>
        <w:gridCol w:w="1440"/>
        <w:gridCol w:w="1444"/>
      </w:tblGrid>
      <w:tr w:rsidR="00911964" w:rsidRPr="003122A3" w:rsidTr="008F3523">
        <w:trPr>
          <w:cnfStyle w:val="100000000000"/>
          <w:trHeight w:val="530"/>
        </w:trPr>
        <w:tc>
          <w:tcPr>
            <w:cnfStyle w:val="001000000000"/>
            <w:tcW w:w="4785" w:type="dxa"/>
            <w:tcBorders>
              <w:top w:val="single" w:sz="4" w:space="0" w:color="auto"/>
              <w:left w:val="single" w:sz="4" w:space="0" w:color="auto"/>
              <w:right w:val="single" w:sz="4" w:space="0" w:color="auto"/>
            </w:tcBorders>
          </w:tcPr>
          <w:p w:rsidR="00911964" w:rsidRPr="003122A3" w:rsidRDefault="00911964" w:rsidP="00FE6C0D">
            <w:pPr>
              <w:pStyle w:val="Heading3"/>
              <w:bidi w:val="0"/>
              <w:spacing w:line="360" w:lineRule="auto"/>
              <w:jc w:val="center"/>
              <w:outlineLvl w:val="2"/>
              <w:rPr>
                <w:rStyle w:val="Heading3Char"/>
                <w:rFonts w:eastAsiaTheme="minorHAnsi" w:cs="Times New Roman"/>
                <w:b/>
                <w:bCs/>
                <w:color w:val="auto"/>
                <w:szCs w:val="24"/>
              </w:rPr>
            </w:pPr>
            <w:r w:rsidRPr="003122A3">
              <w:rPr>
                <w:rFonts w:eastAsiaTheme="minorHAnsi" w:cs="Times New Roman"/>
                <w:snapToGrid/>
                <w:color w:val="auto"/>
              </w:rPr>
              <w:t>Preventions</w:t>
            </w:r>
          </w:p>
        </w:tc>
        <w:tc>
          <w:tcPr>
            <w:tcW w:w="1710" w:type="dxa"/>
            <w:tcBorders>
              <w:top w:val="single" w:sz="4" w:space="0" w:color="auto"/>
              <w:left w:val="single" w:sz="4" w:space="0" w:color="auto"/>
            </w:tcBorders>
          </w:tcPr>
          <w:p w:rsidR="00911964" w:rsidRPr="003122A3" w:rsidRDefault="00911964" w:rsidP="00FE6C0D">
            <w:pPr>
              <w:pStyle w:val="Heading3"/>
              <w:bidi w:val="0"/>
              <w:spacing w:line="360" w:lineRule="auto"/>
              <w:jc w:val="center"/>
              <w:outlineLvl w:val="2"/>
              <w:cnfStyle w:val="100000000000"/>
              <w:rPr>
                <w:rStyle w:val="Heading3Char"/>
                <w:rFonts w:eastAsiaTheme="minorHAnsi" w:cs="Times New Roman"/>
                <w:b/>
                <w:bCs/>
                <w:color w:val="auto"/>
                <w:szCs w:val="24"/>
              </w:rPr>
            </w:pPr>
            <w:r w:rsidRPr="003122A3">
              <w:rPr>
                <w:rFonts w:eastAsiaTheme="minorHAnsi" w:cs="Times New Roman"/>
                <w:snapToGrid/>
                <w:color w:val="auto"/>
              </w:rPr>
              <w:t>Palestine</w:t>
            </w:r>
          </w:p>
        </w:tc>
        <w:tc>
          <w:tcPr>
            <w:tcW w:w="1440" w:type="dxa"/>
            <w:tcBorders>
              <w:top w:val="single" w:sz="4" w:space="0" w:color="auto"/>
            </w:tcBorders>
          </w:tcPr>
          <w:p w:rsidR="00911964" w:rsidRPr="003122A3" w:rsidRDefault="00911964" w:rsidP="00FE6C0D">
            <w:pPr>
              <w:pStyle w:val="Heading3"/>
              <w:bidi w:val="0"/>
              <w:spacing w:line="360" w:lineRule="auto"/>
              <w:jc w:val="center"/>
              <w:outlineLvl w:val="2"/>
              <w:cnfStyle w:val="100000000000"/>
              <w:rPr>
                <w:rStyle w:val="Heading3Char"/>
                <w:rFonts w:eastAsiaTheme="minorHAnsi" w:cs="Times New Roman"/>
                <w:b/>
                <w:bCs/>
                <w:color w:val="auto"/>
                <w:szCs w:val="24"/>
              </w:rPr>
            </w:pPr>
            <w:r w:rsidRPr="003122A3">
              <w:rPr>
                <w:rFonts w:eastAsiaTheme="minorHAnsi" w:cs="Times New Roman"/>
                <w:snapToGrid/>
                <w:color w:val="auto"/>
              </w:rPr>
              <w:t>West Bank</w:t>
            </w:r>
          </w:p>
        </w:tc>
        <w:tc>
          <w:tcPr>
            <w:tcW w:w="1444" w:type="dxa"/>
            <w:tcBorders>
              <w:top w:val="single" w:sz="4" w:space="0" w:color="auto"/>
              <w:right w:val="single" w:sz="4" w:space="0" w:color="auto"/>
            </w:tcBorders>
          </w:tcPr>
          <w:p w:rsidR="00911964" w:rsidRPr="003122A3" w:rsidRDefault="00911964" w:rsidP="00FE6C0D">
            <w:pPr>
              <w:pStyle w:val="Heading3"/>
              <w:bidi w:val="0"/>
              <w:spacing w:line="360" w:lineRule="auto"/>
              <w:jc w:val="center"/>
              <w:outlineLvl w:val="2"/>
              <w:cnfStyle w:val="100000000000"/>
              <w:rPr>
                <w:rStyle w:val="Heading3Char"/>
                <w:rFonts w:eastAsiaTheme="minorHAnsi" w:cs="Times New Roman"/>
                <w:b/>
                <w:bCs/>
                <w:color w:val="auto"/>
                <w:szCs w:val="24"/>
              </w:rPr>
            </w:pPr>
            <w:r w:rsidRPr="003122A3">
              <w:rPr>
                <w:rFonts w:eastAsiaTheme="minorHAnsi" w:cs="Times New Roman"/>
                <w:snapToGrid/>
                <w:color w:val="auto"/>
              </w:rPr>
              <w:t>Gaza Strip</w:t>
            </w:r>
          </w:p>
        </w:tc>
      </w:tr>
      <w:tr w:rsidR="003F5C10" w:rsidRPr="003122A3" w:rsidTr="008F3523">
        <w:trPr>
          <w:cnfStyle w:val="000000100000"/>
          <w:trHeight w:val="397"/>
        </w:trPr>
        <w:tc>
          <w:tcPr>
            <w:cnfStyle w:val="001000000000"/>
            <w:tcW w:w="4785" w:type="dxa"/>
            <w:tcBorders>
              <w:left w:val="single" w:sz="4" w:space="0" w:color="auto"/>
              <w:right w:val="single" w:sz="4" w:space="0" w:color="auto"/>
            </w:tcBorders>
          </w:tcPr>
          <w:p w:rsidR="003F5C10" w:rsidRPr="003122A3" w:rsidRDefault="003F5C10" w:rsidP="00FE6C0D">
            <w:pPr>
              <w:pStyle w:val="Heading3"/>
              <w:bidi w:val="0"/>
              <w:spacing w:line="360" w:lineRule="auto"/>
              <w:outlineLvl w:val="2"/>
              <w:rPr>
                <w:rStyle w:val="Heading3Char"/>
                <w:rFonts w:eastAsiaTheme="minorHAnsi" w:cs="Times New Roman"/>
                <w:b/>
                <w:bCs/>
                <w:color w:val="auto"/>
                <w:szCs w:val="24"/>
              </w:rPr>
            </w:pPr>
            <w:r w:rsidRPr="003122A3">
              <w:rPr>
                <w:rFonts w:eastAsiaTheme="minorHAnsi" w:cs="Times New Roman"/>
                <w:b w:val="0"/>
                <w:bCs w:val="0"/>
                <w:snapToGrid/>
                <w:color w:val="auto"/>
              </w:rPr>
              <w:t>Place computer in a common room in the house</w:t>
            </w:r>
          </w:p>
        </w:tc>
        <w:tc>
          <w:tcPr>
            <w:tcW w:w="1710" w:type="dxa"/>
            <w:tcBorders>
              <w:left w:val="single" w:sz="4" w:space="0" w:color="auto"/>
            </w:tcBorders>
          </w:tcPr>
          <w:p w:rsidR="003F5C10" w:rsidRPr="003122A3" w:rsidRDefault="003F5C10" w:rsidP="00FE6C0D">
            <w:pPr>
              <w:pStyle w:val="Heading3"/>
              <w:bidi w:val="0"/>
              <w:spacing w:line="360" w:lineRule="auto"/>
              <w:jc w:val="center"/>
              <w:outlineLvl w:val="2"/>
              <w:cnfStyle w:val="000000100000"/>
              <w:rPr>
                <w:rStyle w:val="Heading3Char"/>
                <w:rFonts w:eastAsiaTheme="minorHAnsi" w:cs="Times New Roman"/>
                <w:b/>
                <w:bCs/>
                <w:color w:val="auto"/>
                <w:szCs w:val="24"/>
              </w:rPr>
            </w:pPr>
            <w:r w:rsidRPr="003122A3">
              <w:rPr>
                <w:rFonts w:eastAsiaTheme="minorHAnsi" w:cs="Times New Roman"/>
                <w:b w:val="0"/>
                <w:bCs w:val="0"/>
                <w:snapToGrid/>
                <w:color w:val="auto"/>
              </w:rPr>
              <w:t>84.0</w:t>
            </w:r>
          </w:p>
        </w:tc>
        <w:tc>
          <w:tcPr>
            <w:tcW w:w="1440" w:type="dxa"/>
          </w:tcPr>
          <w:p w:rsidR="003F5C10" w:rsidRPr="003122A3" w:rsidRDefault="003F5C10" w:rsidP="00FE6C0D">
            <w:pPr>
              <w:pStyle w:val="Heading3"/>
              <w:bidi w:val="0"/>
              <w:spacing w:line="360" w:lineRule="auto"/>
              <w:jc w:val="center"/>
              <w:outlineLvl w:val="2"/>
              <w:cnfStyle w:val="000000100000"/>
              <w:rPr>
                <w:rStyle w:val="Heading3Char"/>
                <w:rFonts w:eastAsiaTheme="minorHAnsi" w:cs="Times New Roman"/>
                <w:b/>
                <w:bCs/>
                <w:color w:val="auto"/>
                <w:szCs w:val="24"/>
              </w:rPr>
            </w:pPr>
            <w:r w:rsidRPr="003122A3">
              <w:rPr>
                <w:rFonts w:eastAsiaTheme="minorHAnsi" w:cs="Times New Roman"/>
                <w:b w:val="0"/>
                <w:bCs w:val="0"/>
                <w:snapToGrid/>
                <w:color w:val="auto"/>
              </w:rPr>
              <w:t>83.8</w:t>
            </w:r>
          </w:p>
        </w:tc>
        <w:tc>
          <w:tcPr>
            <w:tcW w:w="1444" w:type="dxa"/>
            <w:tcBorders>
              <w:right w:val="single" w:sz="4" w:space="0" w:color="auto"/>
            </w:tcBorders>
          </w:tcPr>
          <w:p w:rsidR="003F5C10" w:rsidRPr="003122A3" w:rsidRDefault="003F5C10" w:rsidP="00FE6C0D">
            <w:pPr>
              <w:pStyle w:val="Heading3"/>
              <w:bidi w:val="0"/>
              <w:spacing w:line="360" w:lineRule="auto"/>
              <w:jc w:val="center"/>
              <w:outlineLvl w:val="2"/>
              <w:cnfStyle w:val="000000100000"/>
              <w:rPr>
                <w:rStyle w:val="Heading3Char"/>
                <w:rFonts w:eastAsiaTheme="minorHAnsi" w:cs="Times New Roman"/>
                <w:b/>
                <w:bCs/>
                <w:color w:val="auto"/>
                <w:szCs w:val="24"/>
              </w:rPr>
            </w:pPr>
            <w:r w:rsidRPr="003122A3">
              <w:rPr>
                <w:rFonts w:eastAsiaTheme="minorHAnsi" w:cs="Times New Roman"/>
                <w:b w:val="0"/>
                <w:bCs w:val="0"/>
                <w:snapToGrid/>
                <w:color w:val="auto"/>
              </w:rPr>
              <w:t>84.4</w:t>
            </w:r>
          </w:p>
        </w:tc>
      </w:tr>
      <w:tr w:rsidR="003F5C10" w:rsidRPr="003122A3" w:rsidTr="008F3523">
        <w:trPr>
          <w:trHeight w:val="397"/>
        </w:trPr>
        <w:tc>
          <w:tcPr>
            <w:cnfStyle w:val="001000000000"/>
            <w:tcW w:w="4785" w:type="dxa"/>
            <w:tcBorders>
              <w:left w:val="single" w:sz="4" w:space="0" w:color="auto"/>
              <w:right w:val="single" w:sz="4" w:space="0" w:color="auto"/>
            </w:tcBorders>
          </w:tcPr>
          <w:p w:rsidR="003F5C10" w:rsidRPr="003122A3" w:rsidRDefault="003F5C10" w:rsidP="00FE6C0D">
            <w:pPr>
              <w:pStyle w:val="Heading3"/>
              <w:bidi w:val="0"/>
              <w:spacing w:line="360" w:lineRule="auto"/>
              <w:outlineLvl w:val="2"/>
              <w:rPr>
                <w:rFonts w:eastAsiaTheme="minorHAnsi" w:cs="Times New Roman"/>
                <w:b w:val="0"/>
                <w:bCs w:val="0"/>
                <w:snapToGrid/>
                <w:color w:val="auto"/>
              </w:rPr>
            </w:pPr>
            <w:r w:rsidRPr="003122A3">
              <w:rPr>
                <w:rFonts w:eastAsiaTheme="minorHAnsi" w:cs="Times New Roman"/>
                <w:b w:val="0"/>
                <w:bCs w:val="0"/>
                <w:snapToGrid/>
                <w:color w:val="auto"/>
              </w:rPr>
              <w:t>Use of Internet safety/ filter system</w:t>
            </w:r>
          </w:p>
        </w:tc>
        <w:tc>
          <w:tcPr>
            <w:tcW w:w="1710" w:type="dxa"/>
            <w:tcBorders>
              <w:left w:val="single" w:sz="4" w:space="0" w:color="auto"/>
            </w:tcBorders>
          </w:tcPr>
          <w:p w:rsidR="003F5C10" w:rsidRPr="003122A3" w:rsidRDefault="003F5C10" w:rsidP="00FE6C0D">
            <w:pPr>
              <w:pStyle w:val="Heading3"/>
              <w:bidi w:val="0"/>
              <w:spacing w:line="360" w:lineRule="auto"/>
              <w:jc w:val="center"/>
              <w:outlineLvl w:val="2"/>
              <w:cnfStyle w:val="000000000000"/>
              <w:rPr>
                <w:rFonts w:eastAsiaTheme="minorHAnsi" w:cs="Times New Roman"/>
                <w:b w:val="0"/>
                <w:bCs w:val="0"/>
                <w:snapToGrid/>
                <w:color w:val="auto"/>
              </w:rPr>
            </w:pPr>
            <w:r w:rsidRPr="003122A3">
              <w:rPr>
                <w:rFonts w:eastAsiaTheme="minorHAnsi" w:cs="Times New Roman"/>
                <w:b w:val="0"/>
                <w:bCs w:val="0"/>
                <w:snapToGrid/>
                <w:color w:val="auto"/>
              </w:rPr>
              <w:t>53.9</w:t>
            </w:r>
          </w:p>
        </w:tc>
        <w:tc>
          <w:tcPr>
            <w:tcW w:w="1440" w:type="dxa"/>
          </w:tcPr>
          <w:p w:rsidR="003F5C10" w:rsidRPr="003122A3" w:rsidRDefault="003F5C10" w:rsidP="00FE6C0D">
            <w:pPr>
              <w:pStyle w:val="Heading3"/>
              <w:bidi w:val="0"/>
              <w:spacing w:line="360" w:lineRule="auto"/>
              <w:jc w:val="center"/>
              <w:outlineLvl w:val="2"/>
              <w:cnfStyle w:val="000000000000"/>
              <w:rPr>
                <w:rFonts w:eastAsiaTheme="minorHAnsi" w:cs="Times New Roman"/>
                <w:b w:val="0"/>
                <w:bCs w:val="0"/>
                <w:snapToGrid/>
                <w:color w:val="auto"/>
              </w:rPr>
            </w:pPr>
            <w:r w:rsidRPr="003122A3">
              <w:rPr>
                <w:rFonts w:eastAsiaTheme="minorHAnsi" w:cs="Times New Roman"/>
                <w:b w:val="0"/>
                <w:bCs w:val="0"/>
                <w:snapToGrid/>
                <w:color w:val="auto"/>
              </w:rPr>
              <w:t>48.6</w:t>
            </w:r>
          </w:p>
        </w:tc>
        <w:tc>
          <w:tcPr>
            <w:tcW w:w="1444" w:type="dxa"/>
            <w:tcBorders>
              <w:right w:val="single" w:sz="4" w:space="0" w:color="auto"/>
            </w:tcBorders>
          </w:tcPr>
          <w:p w:rsidR="003F5C10" w:rsidRPr="003122A3" w:rsidRDefault="003F5C10" w:rsidP="00FE6C0D">
            <w:pPr>
              <w:pStyle w:val="Heading3"/>
              <w:bidi w:val="0"/>
              <w:spacing w:line="360" w:lineRule="auto"/>
              <w:jc w:val="center"/>
              <w:outlineLvl w:val="2"/>
              <w:cnfStyle w:val="000000000000"/>
              <w:rPr>
                <w:rFonts w:eastAsiaTheme="minorHAnsi" w:cs="Times New Roman"/>
                <w:b w:val="0"/>
                <w:bCs w:val="0"/>
                <w:snapToGrid/>
                <w:color w:val="auto"/>
              </w:rPr>
            </w:pPr>
            <w:r w:rsidRPr="003122A3">
              <w:rPr>
                <w:rFonts w:eastAsiaTheme="minorHAnsi" w:cs="Times New Roman"/>
                <w:b w:val="0"/>
                <w:bCs w:val="0"/>
                <w:snapToGrid/>
                <w:color w:val="auto"/>
              </w:rPr>
              <w:t>66.6</w:t>
            </w:r>
          </w:p>
        </w:tc>
      </w:tr>
      <w:tr w:rsidR="003F5C10" w:rsidRPr="003122A3" w:rsidTr="008F3523">
        <w:trPr>
          <w:cnfStyle w:val="000000100000"/>
          <w:trHeight w:val="397"/>
        </w:trPr>
        <w:tc>
          <w:tcPr>
            <w:cnfStyle w:val="001000000000"/>
            <w:tcW w:w="4785" w:type="dxa"/>
            <w:tcBorders>
              <w:left w:val="single" w:sz="4" w:space="0" w:color="auto"/>
              <w:right w:val="single" w:sz="4" w:space="0" w:color="auto"/>
            </w:tcBorders>
          </w:tcPr>
          <w:p w:rsidR="003F5C10" w:rsidRPr="003122A3" w:rsidRDefault="003F5C10" w:rsidP="00FE6C0D">
            <w:pPr>
              <w:pStyle w:val="Heading3"/>
              <w:bidi w:val="0"/>
              <w:spacing w:line="360" w:lineRule="auto"/>
              <w:outlineLvl w:val="2"/>
              <w:rPr>
                <w:rFonts w:eastAsiaTheme="minorHAnsi" w:cs="Times New Roman"/>
                <w:b w:val="0"/>
                <w:bCs w:val="0"/>
                <w:snapToGrid/>
                <w:color w:val="auto"/>
              </w:rPr>
            </w:pPr>
            <w:r w:rsidRPr="003122A3">
              <w:rPr>
                <w:rFonts w:eastAsiaTheme="minorHAnsi" w:cs="Times New Roman"/>
                <w:b w:val="0"/>
                <w:bCs w:val="0"/>
                <w:snapToGrid/>
                <w:color w:val="auto"/>
              </w:rPr>
              <w:t>Install PC monitoring programs</w:t>
            </w:r>
          </w:p>
        </w:tc>
        <w:tc>
          <w:tcPr>
            <w:tcW w:w="1710" w:type="dxa"/>
            <w:tcBorders>
              <w:left w:val="single" w:sz="4" w:space="0" w:color="auto"/>
            </w:tcBorders>
          </w:tcPr>
          <w:p w:rsidR="003F5C10" w:rsidRPr="003122A3" w:rsidRDefault="003F5C10" w:rsidP="00FE6C0D">
            <w:pPr>
              <w:pStyle w:val="Heading3"/>
              <w:bidi w:val="0"/>
              <w:spacing w:line="360" w:lineRule="auto"/>
              <w:jc w:val="center"/>
              <w:outlineLvl w:val="2"/>
              <w:cnfStyle w:val="000000100000"/>
              <w:rPr>
                <w:rFonts w:eastAsiaTheme="minorHAnsi" w:cs="Times New Roman"/>
                <w:b w:val="0"/>
                <w:bCs w:val="0"/>
                <w:snapToGrid/>
                <w:color w:val="auto"/>
              </w:rPr>
            </w:pPr>
            <w:r w:rsidRPr="003122A3">
              <w:rPr>
                <w:rFonts w:eastAsiaTheme="minorHAnsi" w:cs="Times New Roman"/>
                <w:b w:val="0"/>
                <w:bCs w:val="0"/>
                <w:snapToGrid/>
                <w:color w:val="auto"/>
              </w:rPr>
              <w:t>22.5</w:t>
            </w:r>
          </w:p>
        </w:tc>
        <w:tc>
          <w:tcPr>
            <w:tcW w:w="1440" w:type="dxa"/>
          </w:tcPr>
          <w:p w:rsidR="003F5C10" w:rsidRPr="003122A3" w:rsidRDefault="003F5C10" w:rsidP="00FE6C0D">
            <w:pPr>
              <w:pStyle w:val="Heading3"/>
              <w:bidi w:val="0"/>
              <w:spacing w:line="360" w:lineRule="auto"/>
              <w:jc w:val="center"/>
              <w:outlineLvl w:val="2"/>
              <w:cnfStyle w:val="000000100000"/>
              <w:rPr>
                <w:rFonts w:eastAsiaTheme="minorHAnsi" w:cs="Times New Roman"/>
                <w:b w:val="0"/>
                <w:bCs w:val="0"/>
                <w:snapToGrid/>
                <w:color w:val="auto"/>
              </w:rPr>
            </w:pPr>
            <w:r w:rsidRPr="003122A3">
              <w:rPr>
                <w:rFonts w:eastAsiaTheme="minorHAnsi" w:cs="Times New Roman"/>
                <w:b w:val="0"/>
                <w:bCs w:val="0"/>
                <w:snapToGrid/>
                <w:color w:val="auto"/>
              </w:rPr>
              <w:t>24.0</w:t>
            </w:r>
          </w:p>
        </w:tc>
        <w:tc>
          <w:tcPr>
            <w:tcW w:w="1444" w:type="dxa"/>
            <w:tcBorders>
              <w:right w:val="single" w:sz="4" w:space="0" w:color="auto"/>
            </w:tcBorders>
          </w:tcPr>
          <w:p w:rsidR="003F5C10" w:rsidRPr="003122A3" w:rsidRDefault="003F5C10" w:rsidP="00FE6C0D">
            <w:pPr>
              <w:pStyle w:val="Heading3"/>
              <w:bidi w:val="0"/>
              <w:spacing w:line="360" w:lineRule="auto"/>
              <w:jc w:val="center"/>
              <w:outlineLvl w:val="2"/>
              <w:cnfStyle w:val="000000100000"/>
              <w:rPr>
                <w:rFonts w:eastAsiaTheme="minorHAnsi" w:cs="Times New Roman"/>
                <w:b w:val="0"/>
                <w:bCs w:val="0"/>
                <w:snapToGrid/>
                <w:color w:val="auto"/>
              </w:rPr>
            </w:pPr>
            <w:r w:rsidRPr="003122A3">
              <w:rPr>
                <w:rFonts w:eastAsiaTheme="minorHAnsi" w:cs="Times New Roman"/>
                <w:b w:val="0"/>
                <w:bCs w:val="0"/>
                <w:snapToGrid/>
                <w:color w:val="auto"/>
              </w:rPr>
              <w:t>18.7</w:t>
            </w:r>
          </w:p>
        </w:tc>
      </w:tr>
      <w:tr w:rsidR="003F5C10" w:rsidRPr="003122A3" w:rsidTr="008F3523">
        <w:trPr>
          <w:trHeight w:val="397"/>
        </w:trPr>
        <w:tc>
          <w:tcPr>
            <w:cnfStyle w:val="001000000000"/>
            <w:tcW w:w="4785" w:type="dxa"/>
            <w:tcBorders>
              <w:left w:val="single" w:sz="4" w:space="0" w:color="auto"/>
              <w:right w:val="single" w:sz="4" w:space="0" w:color="auto"/>
            </w:tcBorders>
          </w:tcPr>
          <w:p w:rsidR="003F5C10" w:rsidRPr="003122A3" w:rsidRDefault="003F5C10" w:rsidP="00FE6C0D">
            <w:pPr>
              <w:pStyle w:val="Heading3"/>
              <w:bidi w:val="0"/>
              <w:spacing w:line="360" w:lineRule="auto"/>
              <w:outlineLvl w:val="2"/>
              <w:rPr>
                <w:rFonts w:eastAsiaTheme="minorHAnsi" w:cs="Times New Roman"/>
                <w:b w:val="0"/>
                <w:bCs w:val="0"/>
                <w:snapToGrid/>
                <w:color w:val="auto"/>
              </w:rPr>
            </w:pPr>
            <w:r w:rsidRPr="003122A3">
              <w:rPr>
                <w:rFonts w:eastAsiaTheme="minorHAnsi" w:cs="Times New Roman"/>
                <w:b w:val="0"/>
                <w:bCs w:val="0"/>
                <w:snapToGrid/>
                <w:color w:val="auto"/>
              </w:rPr>
              <w:t>Dialogue with children about their activities on the Internet</w:t>
            </w:r>
          </w:p>
        </w:tc>
        <w:tc>
          <w:tcPr>
            <w:tcW w:w="1710" w:type="dxa"/>
            <w:tcBorders>
              <w:left w:val="single" w:sz="4" w:space="0" w:color="auto"/>
            </w:tcBorders>
          </w:tcPr>
          <w:p w:rsidR="003F5C10" w:rsidRPr="003122A3" w:rsidRDefault="003F5C10" w:rsidP="00FE6C0D">
            <w:pPr>
              <w:pStyle w:val="Heading3"/>
              <w:bidi w:val="0"/>
              <w:spacing w:line="360" w:lineRule="auto"/>
              <w:jc w:val="center"/>
              <w:outlineLvl w:val="2"/>
              <w:cnfStyle w:val="000000000000"/>
              <w:rPr>
                <w:rFonts w:eastAsiaTheme="minorHAnsi" w:cs="Times New Roman"/>
                <w:b w:val="0"/>
                <w:bCs w:val="0"/>
                <w:snapToGrid/>
                <w:color w:val="auto"/>
              </w:rPr>
            </w:pPr>
            <w:r w:rsidRPr="003122A3">
              <w:rPr>
                <w:rFonts w:eastAsiaTheme="minorHAnsi" w:cs="Times New Roman"/>
                <w:b w:val="0"/>
                <w:bCs w:val="0"/>
                <w:snapToGrid/>
                <w:color w:val="auto"/>
              </w:rPr>
              <w:t>77.6</w:t>
            </w:r>
          </w:p>
        </w:tc>
        <w:tc>
          <w:tcPr>
            <w:tcW w:w="1440" w:type="dxa"/>
          </w:tcPr>
          <w:p w:rsidR="003F5C10" w:rsidRPr="003122A3" w:rsidRDefault="003F5C10" w:rsidP="00FE6C0D">
            <w:pPr>
              <w:pStyle w:val="Heading3"/>
              <w:bidi w:val="0"/>
              <w:spacing w:line="360" w:lineRule="auto"/>
              <w:jc w:val="center"/>
              <w:outlineLvl w:val="2"/>
              <w:cnfStyle w:val="000000000000"/>
              <w:rPr>
                <w:rFonts w:eastAsiaTheme="minorHAnsi" w:cs="Times New Roman"/>
                <w:b w:val="0"/>
                <w:bCs w:val="0"/>
                <w:snapToGrid/>
                <w:color w:val="auto"/>
              </w:rPr>
            </w:pPr>
            <w:r w:rsidRPr="003122A3">
              <w:rPr>
                <w:rFonts w:eastAsiaTheme="minorHAnsi" w:cs="Times New Roman"/>
                <w:b w:val="0"/>
                <w:bCs w:val="0"/>
                <w:snapToGrid/>
                <w:color w:val="auto"/>
              </w:rPr>
              <w:t>77.3</w:t>
            </w:r>
          </w:p>
        </w:tc>
        <w:tc>
          <w:tcPr>
            <w:tcW w:w="1444" w:type="dxa"/>
            <w:tcBorders>
              <w:right w:val="single" w:sz="4" w:space="0" w:color="auto"/>
            </w:tcBorders>
          </w:tcPr>
          <w:p w:rsidR="003F5C10" w:rsidRPr="003122A3" w:rsidRDefault="003F5C10" w:rsidP="00FE6C0D">
            <w:pPr>
              <w:pStyle w:val="Heading3"/>
              <w:bidi w:val="0"/>
              <w:spacing w:line="360" w:lineRule="auto"/>
              <w:jc w:val="center"/>
              <w:outlineLvl w:val="2"/>
              <w:cnfStyle w:val="000000000000"/>
              <w:rPr>
                <w:rFonts w:eastAsiaTheme="minorHAnsi" w:cs="Times New Roman"/>
                <w:b w:val="0"/>
                <w:bCs w:val="0"/>
                <w:snapToGrid/>
                <w:color w:val="auto"/>
              </w:rPr>
            </w:pPr>
            <w:r w:rsidRPr="003122A3">
              <w:rPr>
                <w:rFonts w:eastAsiaTheme="minorHAnsi" w:cs="Times New Roman"/>
                <w:b w:val="0"/>
                <w:bCs w:val="0"/>
                <w:snapToGrid/>
                <w:color w:val="auto"/>
              </w:rPr>
              <w:t>78.5</w:t>
            </w:r>
          </w:p>
        </w:tc>
      </w:tr>
      <w:tr w:rsidR="003F5C10" w:rsidRPr="003122A3" w:rsidTr="008F3523">
        <w:trPr>
          <w:cnfStyle w:val="000000100000"/>
          <w:trHeight w:val="397"/>
        </w:trPr>
        <w:tc>
          <w:tcPr>
            <w:cnfStyle w:val="001000000000"/>
            <w:tcW w:w="4785" w:type="dxa"/>
            <w:tcBorders>
              <w:left w:val="single" w:sz="4" w:space="0" w:color="auto"/>
              <w:bottom w:val="single" w:sz="4" w:space="0" w:color="auto"/>
              <w:right w:val="single" w:sz="4" w:space="0" w:color="auto"/>
            </w:tcBorders>
          </w:tcPr>
          <w:p w:rsidR="003F5C10" w:rsidRPr="003122A3" w:rsidRDefault="003F5C10" w:rsidP="00FE6C0D">
            <w:pPr>
              <w:pStyle w:val="Heading3"/>
              <w:bidi w:val="0"/>
              <w:spacing w:line="360" w:lineRule="auto"/>
              <w:outlineLvl w:val="2"/>
              <w:rPr>
                <w:rFonts w:eastAsiaTheme="minorHAnsi" w:cs="Times New Roman"/>
                <w:b w:val="0"/>
                <w:bCs w:val="0"/>
                <w:snapToGrid/>
                <w:color w:val="auto"/>
              </w:rPr>
            </w:pPr>
            <w:r w:rsidRPr="003122A3">
              <w:rPr>
                <w:rFonts w:eastAsiaTheme="minorHAnsi" w:cs="Times New Roman"/>
                <w:b w:val="0"/>
                <w:bCs w:val="0"/>
                <w:snapToGrid/>
                <w:color w:val="auto"/>
              </w:rPr>
              <w:t>Sit with the child during Internet use time</w:t>
            </w:r>
          </w:p>
        </w:tc>
        <w:tc>
          <w:tcPr>
            <w:tcW w:w="1710" w:type="dxa"/>
            <w:tcBorders>
              <w:left w:val="single" w:sz="4" w:space="0" w:color="auto"/>
              <w:bottom w:val="single" w:sz="4" w:space="0" w:color="auto"/>
            </w:tcBorders>
          </w:tcPr>
          <w:p w:rsidR="003F5C10" w:rsidRPr="003122A3" w:rsidRDefault="003F5C10" w:rsidP="00FE6C0D">
            <w:pPr>
              <w:pStyle w:val="Heading3"/>
              <w:bidi w:val="0"/>
              <w:spacing w:line="360" w:lineRule="auto"/>
              <w:jc w:val="center"/>
              <w:outlineLvl w:val="2"/>
              <w:cnfStyle w:val="000000100000"/>
              <w:rPr>
                <w:rFonts w:eastAsiaTheme="minorHAnsi" w:cs="Times New Roman"/>
                <w:b w:val="0"/>
                <w:bCs w:val="0"/>
                <w:snapToGrid/>
                <w:color w:val="auto"/>
              </w:rPr>
            </w:pPr>
            <w:r w:rsidRPr="003122A3">
              <w:rPr>
                <w:rFonts w:eastAsiaTheme="minorHAnsi" w:cs="Times New Roman"/>
                <w:b w:val="0"/>
                <w:bCs w:val="0"/>
                <w:snapToGrid/>
                <w:color w:val="auto"/>
              </w:rPr>
              <w:t>73.7</w:t>
            </w:r>
          </w:p>
        </w:tc>
        <w:tc>
          <w:tcPr>
            <w:tcW w:w="1440" w:type="dxa"/>
            <w:tcBorders>
              <w:bottom w:val="single" w:sz="4" w:space="0" w:color="auto"/>
            </w:tcBorders>
          </w:tcPr>
          <w:p w:rsidR="003F5C10" w:rsidRPr="003122A3" w:rsidRDefault="003F5C10" w:rsidP="00FE6C0D">
            <w:pPr>
              <w:pStyle w:val="Heading3"/>
              <w:bidi w:val="0"/>
              <w:spacing w:line="360" w:lineRule="auto"/>
              <w:jc w:val="center"/>
              <w:outlineLvl w:val="2"/>
              <w:cnfStyle w:val="000000100000"/>
              <w:rPr>
                <w:rFonts w:eastAsiaTheme="minorHAnsi" w:cs="Times New Roman"/>
                <w:b w:val="0"/>
                <w:bCs w:val="0"/>
                <w:snapToGrid/>
                <w:color w:val="auto"/>
              </w:rPr>
            </w:pPr>
            <w:r w:rsidRPr="003122A3">
              <w:rPr>
                <w:rFonts w:eastAsiaTheme="minorHAnsi" w:cs="Times New Roman"/>
                <w:b w:val="0"/>
                <w:bCs w:val="0"/>
                <w:snapToGrid/>
                <w:color w:val="auto"/>
              </w:rPr>
              <w:t>73.0</w:t>
            </w:r>
          </w:p>
        </w:tc>
        <w:tc>
          <w:tcPr>
            <w:tcW w:w="1444" w:type="dxa"/>
            <w:tcBorders>
              <w:bottom w:val="single" w:sz="4" w:space="0" w:color="auto"/>
              <w:right w:val="single" w:sz="4" w:space="0" w:color="auto"/>
            </w:tcBorders>
          </w:tcPr>
          <w:p w:rsidR="003F5C10" w:rsidRPr="003122A3" w:rsidRDefault="003F5C10" w:rsidP="00FE6C0D">
            <w:pPr>
              <w:pStyle w:val="Heading3"/>
              <w:bidi w:val="0"/>
              <w:spacing w:line="360" w:lineRule="auto"/>
              <w:jc w:val="center"/>
              <w:outlineLvl w:val="2"/>
              <w:cnfStyle w:val="000000100000"/>
              <w:rPr>
                <w:rFonts w:eastAsiaTheme="minorHAnsi" w:cs="Times New Roman"/>
                <w:b w:val="0"/>
                <w:bCs w:val="0"/>
                <w:snapToGrid/>
                <w:color w:val="auto"/>
              </w:rPr>
            </w:pPr>
            <w:r w:rsidRPr="003122A3">
              <w:rPr>
                <w:rFonts w:eastAsiaTheme="minorHAnsi" w:cs="Times New Roman"/>
                <w:b w:val="0"/>
                <w:bCs w:val="0"/>
                <w:snapToGrid/>
                <w:color w:val="auto"/>
              </w:rPr>
              <w:t>75.2</w:t>
            </w:r>
          </w:p>
        </w:tc>
      </w:tr>
    </w:tbl>
    <w:p w:rsidR="003F5C10" w:rsidRPr="00363A7A" w:rsidRDefault="008F3523" w:rsidP="003F5C10">
      <w:pPr>
        <w:rPr>
          <w:rStyle w:val="Heading3Char"/>
          <w:rFonts w:eastAsiaTheme="minorHAnsi" w:cs="Times New Roman"/>
          <w:b w:val="0"/>
          <w:bCs w:val="0"/>
          <w:sz w:val="18"/>
          <w:szCs w:val="18"/>
        </w:rPr>
      </w:pPr>
      <w:r>
        <w:rPr>
          <w:rStyle w:val="Heading3Char"/>
          <w:rFonts w:eastAsiaTheme="minorHAnsi" w:cs="Times New Roman"/>
          <w:b w:val="0"/>
          <w:bCs w:val="0"/>
          <w:sz w:val="18"/>
          <w:szCs w:val="18"/>
        </w:rPr>
        <w:t xml:space="preserve">    </w:t>
      </w:r>
      <w:r w:rsidR="003F5C10" w:rsidRPr="00363A7A">
        <w:rPr>
          <w:rStyle w:val="Heading3Char"/>
          <w:rFonts w:eastAsiaTheme="minorHAnsi" w:cs="Times New Roman"/>
          <w:b w:val="0"/>
          <w:bCs w:val="0"/>
          <w:sz w:val="18"/>
          <w:szCs w:val="18"/>
        </w:rPr>
        <w:t>Source: PCBS, 2014 – Household Cultural Survey, Report on Main Results, Ramallah-Palestine</w:t>
      </w:r>
    </w:p>
    <w:p w:rsidR="003F5C10" w:rsidRPr="003122A3" w:rsidRDefault="003F5C10" w:rsidP="008E657F">
      <w:pPr>
        <w:jc w:val="both"/>
        <w:rPr>
          <w:rFonts w:ascii="Times New Roman" w:hAnsi="Times New Roman" w:cs="Times New Roman"/>
          <w:b/>
          <w:bCs/>
          <w:sz w:val="24"/>
          <w:szCs w:val="24"/>
        </w:rPr>
      </w:pPr>
    </w:p>
    <w:p w:rsidR="007A418A" w:rsidRPr="003122A3" w:rsidRDefault="00567D1B" w:rsidP="00CB04F3">
      <w:pPr>
        <w:pStyle w:val="Caption"/>
        <w:bidi w:val="0"/>
        <w:rPr>
          <w:b w:val="0"/>
          <w:bCs w:val="0"/>
          <w:sz w:val="22"/>
          <w:szCs w:val="22"/>
        </w:rPr>
      </w:pPr>
      <w:bookmarkStart w:id="109" w:name="_Toc420268259"/>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45</w:t>
      </w:r>
      <w:r w:rsidR="008F57C8" w:rsidRPr="003122A3">
        <w:rPr>
          <w:sz w:val="22"/>
          <w:szCs w:val="24"/>
        </w:rPr>
        <w:fldChar w:fldCharType="end"/>
      </w:r>
      <w:r w:rsidRPr="003122A3">
        <w:rPr>
          <w:sz w:val="22"/>
          <w:szCs w:val="24"/>
        </w:rPr>
        <w:t xml:space="preserve">: Percentage of </w:t>
      </w:r>
      <w:r w:rsidR="001842C0">
        <w:rPr>
          <w:sz w:val="22"/>
          <w:szCs w:val="24"/>
        </w:rPr>
        <w:t xml:space="preserve">Households by </w:t>
      </w:r>
      <w:r w:rsidR="00CB04F3">
        <w:rPr>
          <w:sz w:val="22"/>
          <w:szCs w:val="24"/>
        </w:rPr>
        <w:t>M</w:t>
      </w:r>
      <w:r w:rsidR="001842C0">
        <w:rPr>
          <w:sz w:val="22"/>
          <w:szCs w:val="24"/>
        </w:rPr>
        <w:t xml:space="preserve">onitoring the Number of </w:t>
      </w:r>
      <w:r w:rsidR="00CB04F3">
        <w:rPr>
          <w:sz w:val="22"/>
          <w:szCs w:val="24"/>
        </w:rPr>
        <w:t>D</w:t>
      </w:r>
      <w:r w:rsidR="001842C0">
        <w:rPr>
          <w:sz w:val="22"/>
          <w:szCs w:val="24"/>
        </w:rPr>
        <w:t xml:space="preserve">aily </w:t>
      </w:r>
      <w:r w:rsidR="00CB04F3">
        <w:rPr>
          <w:sz w:val="22"/>
          <w:szCs w:val="24"/>
        </w:rPr>
        <w:t>H</w:t>
      </w:r>
      <w:r w:rsidR="001842C0">
        <w:rPr>
          <w:sz w:val="22"/>
          <w:szCs w:val="24"/>
        </w:rPr>
        <w:t>ours of Internet</w:t>
      </w:r>
      <w:r w:rsidR="00B8703C">
        <w:rPr>
          <w:sz w:val="22"/>
          <w:szCs w:val="24"/>
        </w:rPr>
        <w:t xml:space="preserve"> Usage</w:t>
      </w:r>
      <w:r w:rsidR="001842C0">
        <w:rPr>
          <w:sz w:val="22"/>
          <w:szCs w:val="24"/>
        </w:rPr>
        <w:t xml:space="preserve"> for </w:t>
      </w:r>
      <w:r w:rsidRPr="003122A3">
        <w:rPr>
          <w:sz w:val="22"/>
          <w:szCs w:val="24"/>
        </w:rPr>
        <w:t xml:space="preserve">Children </w:t>
      </w:r>
      <w:r w:rsidR="001842C0">
        <w:rPr>
          <w:sz w:val="22"/>
          <w:szCs w:val="24"/>
        </w:rPr>
        <w:t>(age 15-17 years) by Region,</w:t>
      </w:r>
      <w:r w:rsidRPr="003122A3">
        <w:rPr>
          <w:sz w:val="22"/>
          <w:szCs w:val="24"/>
        </w:rPr>
        <w:t xml:space="preserve"> 201</w:t>
      </w:r>
      <w:r w:rsidR="001842C0">
        <w:rPr>
          <w:sz w:val="22"/>
          <w:szCs w:val="24"/>
        </w:rPr>
        <w:t>4</w:t>
      </w:r>
      <w:bookmarkEnd w:id="109"/>
    </w:p>
    <w:p w:rsidR="00365C15" w:rsidRPr="003122A3" w:rsidRDefault="00365C15" w:rsidP="00911964">
      <w:pPr>
        <w:jc w:val="center"/>
        <w:rPr>
          <w:rFonts w:ascii="Times New Roman" w:hAnsi="Times New Roman" w:cs="Times New Roman"/>
          <w:b/>
          <w:bCs/>
          <w:rtl/>
        </w:rPr>
      </w:pPr>
      <w:r w:rsidRPr="003122A3">
        <w:rPr>
          <w:rFonts w:ascii="Times New Roman" w:hAnsi="Times New Roman" w:cs="Times New Roman"/>
          <w:b/>
          <w:bCs/>
          <w:noProof/>
          <w:rtl/>
        </w:rPr>
        <w:drawing>
          <wp:inline distT="0" distB="0" distL="0" distR="0">
            <wp:extent cx="5976233" cy="2313830"/>
            <wp:effectExtent l="19050" t="0" r="24517" b="0"/>
            <wp:docPr id="3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7A418A" w:rsidRPr="003122A3" w:rsidRDefault="007A418A" w:rsidP="008E657F">
      <w:pPr>
        <w:jc w:val="both"/>
        <w:rPr>
          <w:rFonts w:ascii="Times New Roman" w:hAnsi="Times New Roman" w:cs="Times New Roman"/>
          <w:sz w:val="18"/>
          <w:szCs w:val="18"/>
        </w:rPr>
      </w:pPr>
      <w:r w:rsidRPr="003122A3">
        <w:rPr>
          <w:rFonts w:ascii="Times New Roman" w:hAnsi="Times New Roman" w:cs="Times New Roman"/>
          <w:sz w:val="18"/>
          <w:szCs w:val="18"/>
        </w:rPr>
        <w:t>Source: Palestinian Central Bureau of Statistics,2009.  Household Culture Survey 2013, Main Finding Report. Ramallah – Palestine.</w:t>
      </w:r>
    </w:p>
    <w:p w:rsidR="007A418A" w:rsidRPr="003122A3" w:rsidRDefault="007A418A" w:rsidP="0025385E">
      <w:pPr>
        <w:spacing w:after="0" w:line="240" w:lineRule="auto"/>
        <w:jc w:val="both"/>
        <w:rPr>
          <w:rFonts w:ascii="Times New Roman" w:hAnsi="Times New Roman" w:cs="Times New Roman"/>
          <w:sz w:val="24"/>
          <w:szCs w:val="24"/>
          <w:rtl/>
        </w:rPr>
      </w:pPr>
      <w:r w:rsidRPr="003122A3">
        <w:rPr>
          <w:rFonts w:ascii="Times New Roman" w:hAnsi="Times New Roman" w:cs="Times New Roman"/>
          <w:sz w:val="24"/>
          <w:szCs w:val="24"/>
        </w:rPr>
        <w:t>On another le</w:t>
      </w:r>
      <w:r w:rsidR="00AB67E3" w:rsidRPr="003122A3">
        <w:rPr>
          <w:rFonts w:ascii="Times New Roman" w:hAnsi="Times New Roman" w:cs="Times New Roman"/>
          <w:sz w:val="24"/>
          <w:szCs w:val="24"/>
        </w:rPr>
        <w:t>ve</w:t>
      </w:r>
      <w:r w:rsidRPr="003122A3">
        <w:rPr>
          <w:rFonts w:ascii="Times New Roman" w:hAnsi="Times New Roman" w:cs="Times New Roman"/>
          <w:sz w:val="24"/>
          <w:szCs w:val="24"/>
        </w:rPr>
        <w:t>l, half of Palestinian households monitor TV watching ours of their children aged 5 – 17 years, with higher monitoring rates in rural areas compared to urban areas and refugee camps.</w:t>
      </w:r>
    </w:p>
    <w:p w:rsidR="00732FBD" w:rsidRPr="003122A3" w:rsidRDefault="007A418A" w:rsidP="008E657F">
      <w:pPr>
        <w:jc w:val="both"/>
        <w:rPr>
          <w:rFonts w:ascii="Times New Roman" w:hAnsi="Times New Roman" w:cs="Times New Roman"/>
          <w:sz w:val="24"/>
          <w:szCs w:val="24"/>
        </w:rPr>
      </w:pPr>
      <w:r w:rsidRPr="003122A3">
        <w:rPr>
          <w:rFonts w:ascii="Times New Roman" w:hAnsi="Times New Roman" w:cs="Times New Roman"/>
          <w:sz w:val="24"/>
          <w:szCs w:val="24"/>
        </w:rPr>
        <w:t xml:space="preserve"> </w:t>
      </w:r>
    </w:p>
    <w:p w:rsidR="00F51445" w:rsidRDefault="00F51445" w:rsidP="008E657F">
      <w:pPr>
        <w:jc w:val="both"/>
        <w:rPr>
          <w:rFonts w:ascii="Times New Roman" w:hAnsi="Times New Roman" w:cs="Times New Roman"/>
          <w:sz w:val="24"/>
          <w:szCs w:val="24"/>
        </w:rPr>
      </w:pPr>
    </w:p>
    <w:p w:rsidR="0025385E" w:rsidRPr="003122A3" w:rsidRDefault="0025385E" w:rsidP="008E657F">
      <w:pPr>
        <w:jc w:val="both"/>
        <w:rPr>
          <w:rFonts w:ascii="Times New Roman" w:hAnsi="Times New Roman" w:cs="Times New Roman"/>
          <w:sz w:val="24"/>
          <w:szCs w:val="24"/>
          <w:rtl/>
        </w:rPr>
      </w:pPr>
    </w:p>
    <w:p w:rsidR="00567D1B" w:rsidRPr="003122A3" w:rsidRDefault="00567D1B" w:rsidP="00911964">
      <w:pPr>
        <w:pStyle w:val="Caption"/>
        <w:bidi w:val="0"/>
        <w:rPr>
          <w:sz w:val="22"/>
          <w:szCs w:val="22"/>
        </w:rPr>
      </w:pPr>
      <w:bookmarkStart w:id="110" w:name="_Toc420268260"/>
      <w:r w:rsidRPr="003122A3">
        <w:rPr>
          <w:sz w:val="22"/>
          <w:szCs w:val="22"/>
        </w:rPr>
        <w:t>Figure</w:t>
      </w:r>
      <w:r w:rsidR="00FE6C0D"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46</w:t>
      </w:r>
      <w:r w:rsidR="008F57C8" w:rsidRPr="003122A3">
        <w:rPr>
          <w:sz w:val="22"/>
          <w:szCs w:val="22"/>
          <w:rtl/>
        </w:rPr>
        <w:fldChar w:fldCharType="end"/>
      </w:r>
      <w:r w:rsidRPr="003122A3">
        <w:rPr>
          <w:sz w:val="22"/>
          <w:szCs w:val="22"/>
        </w:rPr>
        <w:t>: Distribution of Households by Monitoring the Number of Daily Hours of Watching Television by Children Aged 5-17 Years, Region and Type of Locality, 2014</w:t>
      </w:r>
      <w:bookmarkEnd w:id="110"/>
    </w:p>
    <w:p w:rsidR="0077148C" w:rsidRPr="003122A3" w:rsidRDefault="0077148C" w:rsidP="00911964">
      <w:pPr>
        <w:jc w:val="center"/>
        <w:rPr>
          <w:rFonts w:ascii="Times New Roman" w:hAnsi="Times New Roman" w:cs="Times New Roman"/>
          <w:b/>
          <w:bCs/>
          <w:sz w:val="18"/>
          <w:szCs w:val="18"/>
          <w:rtl/>
        </w:rPr>
      </w:pPr>
      <w:r w:rsidRPr="003122A3">
        <w:rPr>
          <w:rFonts w:ascii="Times New Roman" w:hAnsi="Times New Roman" w:cs="Times New Roman"/>
          <w:noProof/>
        </w:rPr>
        <w:drawing>
          <wp:inline distT="0" distB="0" distL="0" distR="0">
            <wp:extent cx="5814695" cy="2183765"/>
            <wp:effectExtent l="19050" t="0" r="14605" b="6985"/>
            <wp:docPr id="12"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7A418A" w:rsidRPr="003122A3" w:rsidRDefault="00771711" w:rsidP="004A4552">
      <w:pPr>
        <w:jc w:val="both"/>
        <w:rPr>
          <w:rFonts w:ascii="Times New Roman" w:hAnsi="Times New Roman" w:cs="Times New Roman"/>
          <w:sz w:val="24"/>
          <w:szCs w:val="24"/>
        </w:rPr>
      </w:pPr>
      <w:r w:rsidRPr="003122A3">
        <w:rPr>
          <w:rFonts w:ascii="Times New Roman" w:hAnsi="Times New Roman" w:cs="Times New Roman"/>
          <w:sz w:val="18"/>
          <w:szCs w:val="18"/>
          <w:rtl/>
        </w:rPr>
        <w:t xml:space="preserve">           </w:t>
      </w:r>
      <w:r w:rsidR="007A418A" w:rsidRPr="003122A3">
        <w:rPr>
          <w:rFonts w:ascii="Times New Roman" w:hAnsi="Times New Roman" w:cs="Times New Roman"/>
          <w:sz w:val="18"/>
          <w:szCs w:val="18"/>
        </w:rPr>
        <w:t>Source</w:t>
      </w:r>
      <w:r w:rsidR="004A4552">
        <w:rPr>
          <w:rFonts w:ascii="Times New Roman" w:hAnsi="Times New Roman" w:cs="Times New Roman"/>
          <w:sz w:val="18"/>
          <w:szCs w:val="18"/>
        </w:rPr>
        <w:t xml:space="preserve">: </w:t>
      </w:r>
      <w:r w:rsidR="007A418A" w:rsidRPr="003122A3">
        <w:rPr>
          <w:rFonts w:ascii="Times New Roman" w:hAnsi="Times New Roman" w:cs="Times New Roman"/>
          <w:sz w:val="18"/>
          <w:szCs w:val="18"/>
        </w:rPr>
        <w:t>Palestinian Central Bureau of Statistics, Household Culture Survey 2014, Main Finding Report. Ramallah – Palestine.</w:t>
      </w:r>
    </w:p>
    <w:p w:rsidR="007A418A" w:rsidRDefault="007A418A" w:rsidP="0025385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Guidelines for appropriate daily time limits on usage of the TV, computer and the internet could be beneficial. In addition, the survey found that while most parents had a general sense of what their children watched, content was not routinely monitored.</w:t>
      </w:r>
    </w:p>
    <w:p w:rsidR="0025385E" w:rsidRPr="003122A3" w:rsidRDefault="0025385E" w:rsidP="0025385E">
      <w:pPr>
        <w:spacing w:after="0" w:line="240" w:lineRule="auto"/>
        <w:jc w:val="both"/>
        <w:rPr>
          <w:rFonts w:ascii="Times New Roman" w:hAnsi="Times New Roman" w:cs="Times New Roman"/>
          <w:sz w:val="24"/>
          <w:szCs w:val="24"/>
        </w:rPr>
      </w:pPr>
    </w:p>
    <w:p w:rsidR="007A418A" w:rsidRDefault="007A418A" w:rsidP="0025385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As regards social media, 74.1% of children (10-17 years) in the West Bank use social media, compared to 59.5% </w:t>
      </w:r>
      <w:r w:rsidR="00A91E3A">
        <w:rPr>
          <w:rFonts w:ascii="Times New Roman" w:hAnsi="Times New Roman" w:cs="Times New Roman"/>
          <w:sz w:val="24"/>
          <w:szCs w:val="24"/>
        </w:rPr>
        <w:t>in Gaza Strip</w:t>
      </w:r>
      <w:r w:rsidRPr="003122A3">
        <w:rPr>
          <w:rFonts w:ascii="Times New Roman" w:hAnsi="Times New Roman" w:cs="Times New Roman"/>
          <w:sz w:val="24"/>
          <w:szCs w:val="24"/>
        </w:rPr>
        <w:t>. The percentage of males using these media in Palestine was 80.6% of males compared to 53.3% for females.</w:t>
      </w:r>
    </w:p>
    <w:p w:rsidR="0025385E" w:rsidRPr="003122A3" w:rsidRDefault="0025385E" w:rsidP="0025385E">
      <w:pPr>
        <w:spacing w:after="0" w:line="240" w:lineRule="auto"/>
        <w:jc w:val="both"/>
        <w:rPr>
          <w:rFonts w:ascii="Times New Roman" w:hAnsi="Times New Roman" w:cs="Times New Roman"/>
          <w:sz w:val="24"/>
          <w:szCs w:val="24"/>
          <w:rtl/>
        </w:rPr>
      </w:pPr>
    </w:p>
    <w:p w:rsidR="007A418A" w:rsidRPr="003122A3" w:rsidRDefault="00403AF3" w:rsidP="005B2951">
      <w:pPr>
        <w:pStyle w:val="Caption"/>
        <w:bidi w:val="0"/>
        <w:rPr>
          <w:b w:val="0"/>
          <w:bCs w:val="0"/>
          <w:sz w:val="22"/>
          <w:szCs w:val="22"/>
          <w:rtl/>
        </w:rPr>
      </w:pPr>
      <w:bookmarkStart w:id="111" w:name="_Toc420268261"/>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47</w:t>
      </w:r>
      <w:r w:rsidR="008F57C8" w:rsidRPr="003122A3">
        <w:rPr>
          <w:sz w:val="22"/>
          <w:szCs w:val="24"/>
        </w:rPr>
        <w:fldChar w:fldCharType="end"/>
      </w:r>
      <w:r w:rsidRPr="003122A3">
        <w:rPr>
          <w:sz w:val="22"/>
          <w:szCs w:val="24"/>
        </w:rPr>
        <w:t>: Percentage</w:t>
      </w:r>
      <w:r w:rsidR="005B2951" w:rsidRPr="005B2951">
        <w:rPr>
          <w:sz w:val="22"/>
          <w:szCs w:val="22"/>
        </w:rPr>
        <w:t xml:space="preserve"> </w:t>
      </w:r>
      <w:r w:rsidR="005B2951" w:rsidRPr="003122A3">
        <w:rPr>
          <w:sz w:val="22"/>
          <w:szCs w:val="22"/>
        </w:rPr>
        <w:t>Distribution</w:t>
      </w:r>
      <w:r w:rsidRPr="003122A3">
        <w:rPr>
          <w:sz w:val="22"/>
          <w:szCs w:val="24"/>
        </w:rPr>
        <w:t xml:space="preserve"> of Children (10-17 years) using Internet per Use of Social Media and S</w:t>
      </w:r>
      <w:r w:rsidR="005B2951">
        <w:rPr>
          <w:sz w:val="22"/>
          <w:szCs w:val="24"/>
        </w:rPr>
        <w:t>elected</w:t>
      </w:r>
      <w:r w:rsidRPr="003122A3">
        <w:rPr>
          <w:sz w:val="22"/>
          <w:szCs w:val="24"/>
        </w:rPr>
        <w:t xml:space="preserve"> Background Characteristics, 2014</w:t>
      </w:r>
      <w:bookmarkEnd w:id="111"/>
    </w:p>
    <w:p w:rsidR="00564AB0" w:rsidRPr="003122A3" w:rsidRDefault="00564AB0" w:rsidP="00911964">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491480" cy="2076450"/>
            <wp:effectExtent l="19050" t="0" r="1397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F772BA" w:rsidRPr="003122A3" w:rsidRDefault="007A418A" w:rsidP="008E657F">
      <w:pPr>
        <w:jc w:val="both"/>
        <w:rPr>
          <w:rFonts w:ascii="Times New Roman" w:hAnsi="Times New Roman" w:cs="Times New Roman"/>
          <w:sz w:val="24"/>
          <w:szCs w:val="24"/>
          <w:rtl/>
        </w:rPr>
      </w:pPr>
      <w:r w:rsidRPr="003122A3">
        <w:rPr>
          <w:rFonts w:ascii="Times New Roman" w:hAnsi="Times New Roman" w:cs="Times New Roman"/>
          <w:sz w:val="18"/>
          <w:szCs w:val="18"/>
          <w:rtl/>
        </w:rPr>
        <w:t xml:space="preserve">           </w:t>
      </w:r>
      <w:r w:rsidRPr="003122A3">
        <w:rPr>
          <w:rFonts w:ascii="Times New Roman" w:hAnsi="Times New Roman" w:cs="Times New Roman"/>
          <w:sz w:val="18"/>
          <w:szCs w:val="18"/>
        </w:rPr>
        <w:t>Source</w:t>
      </w:r>
      <w:r w:rsidR="004A4552">
        <w:rPr>
          <w:rFonts w:ascii="Times New Roman" w:hAnsi="Times New Roman" w:cs="Times New Roman"/>
          <w:sz w:val="18"/>
          <w:szCs w:val="18"/>
        </w:rPr>
        <w:t>:</w:t>
      </w:r>
      <w:r w:rsidRPr="003122A3">
        <w:rPr>
          <w:rFonts w:ascii="Times New Roman" w:hAnsi="Times New Roman" w:cs="Times New Roman"/>
          <w:sz w:val="18"/>
          <w:szCs w:val="18"/>
        </w:rPr>
        <w:t xml:space="preserve"> Palestinian Central Bureau of Statistics, Household Culture Survey 2014, Main Finding Report. Ramallah – Palestine</w:t>
      </w:r>
    </w:p>
    <w:p w:rsidR="007A418A" w:rsidRPr="003122A3" w:rsidRDefault="007A418A" w:rsidP="0025385E">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Percentage of Children (10-17 years) using social media for games and entertainment in Palestine was 89.8% and 80.3% used it to make acquaintance while 45.9% and 26.1% use the social media to make phone calls or dialogue over cultural and literary topics.</w:t>
      </w:r>
    </w:p>
    <w:p w:rsidR="00F51445" w:rsidRPr="003122A3" w:rsidRDefault="00F51445" w:rsidP="008E657F">
      <w:pPr>
        <w:jc w:val="both"/>
        <w:rPr>
          <w:rFonts w:ascii="Times New Roman" w:hAnsi="Times New Roman" w:cs="Times New Roman"/>
          <w:sz w:val="24"/>
          <w:szCs w:val="24"/>
        </w:rPr>
      </w:pPr>
    </w:p>
    <w:p w:rsidR="00F51445" w:rsidRDefault="00F51445" w:rsidP="008E657F">
      <w:pPr>
        <w:jc w:val="both"/>
        <w:rPr>
          <w:rFonts w:ascii="Times New Roman" w:hAnsi="Times New Roman" w:cs="Times New Roman"/>
          <w:sz w:val="24"/>
          <w:szCs w:val="24"/>
        </w:rPr>
      </w:pPr>
    </w:p>
    <w:p w:rsidR="0025385E" w:rsidRDefault="0025385E" w:rsidP="008E657F">
      <w:pPr>
        <w:jc w:val="both"/>
        <w:rPr>
          <w:rFonts w:ascii="Times New Roman" w:hAnsi="Times New Roman" w:cs="Times New Roman"/>
          <w:sz w:val="24"/>
          <w:szCs w:val="24"/>
        </w:rPr>
      </w:pPr>
    </w:p>
    <w:p w:rsidR="0025385E" w:rsidRPr="003122A3" w:rsidRDefault="0025385E" w:rsidP="008E657F">
      <w:pPr>
        <w:jc w:val="both"/>
        <w:rPr>
          <w:rFonts w:ascii="Times New Roman" w:hAnsi="Times New Roman" w:cs="Times New Roman"/>
          <w:sz w:val="24"/>
          <w:szCs w:val="24"/>
          <w:rtl/>
        </w:rPr>
      </w:pPr>
    </w:p>
    <w:p w:rsidR="007A418A" w:rsidRPr="003122A3" w:rsidRDefault="00403AF3" w:rsidP="004A4552">
      <w:pPr>
        <w:pStyle w:val="Caption"/>
        <w:bidi w:val="0"/>
        <w:rPr>
          <w:b w:val="0"/>
          <w:bCs w:val="0"/>
          <w:sz w:val="22"/>
          <w:szCs w:val="22"/>
          <w:rtl/>
        </w:rPr>
      </w:pPr>
      <w:bookmarkStart w:id="112" w:name="_Toc420268262"/>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48</w:t>
      </w:r>
      <w:r w:rsidR="008F57C8" w:rsidRPr="003122A3">
        <w:rPr>
          <w:sz w:val="22"/>
          <w:szCs w:val="24"/>
        </w:rPr>
        <w:fldChar w:fldCharType="end"/>
      </w:r>
      <w:r w:rsidRPr="003122A3">
        <w:rPr>
          <w:sz w:val="22"/>
          <w:szCs w:val="24"/>
        </w:rPr>
        <w:t xml:space="preserve">: Percentage of Children (10-17 years) Who Use Social Media </w:t>
      </w:r>
      <w:r w:rsidR="004A4552">
        <w:rPr>
          <w:sz w:val="22"/>
          <w:szCs w:val="24"/>
        </w:rPr>
        <w:t>by</w:t>
      </w:r>
      <w:r w:rsidRPr="003122A3">
        <w:rPr>
          <w:sz w:val="22"/>
          <w:szCs w:val="24"/>
        </w:rPr>
        <w:t xml:space="preserve"> Type of Use and Region</w:t>
      </w:r>
      <w:bookmarkEnd w:id="112"/>
    </w:p>
    <w:p w:rsidR="001B5290" w:rsidRPr="003122A3" w:rsidRDefault="001B5290" w:rsidP="00911964">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501065" cy="2104845"/>
            <wp:effectExtent l="19050" t="0" r="23435"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BB19F8" w:rsidRPr="003122A3" w:rsidRDefault="007A418A" w:rsidP="008E657F">
      <w:pPr>
        <w:jc w:val="both"/>
        <w:rPr>
          <w:rFonts w:ascii="Times New Roman" w:hAnsi="Times New Roman" w:cs="Times New Roman"/>
          <w:b/>
          <w:bCs/>
          <w:rtl/>
        </w:rPr>
      </w:pPr>
      <w:r w:rsidRPr="003122A3">
        <w:rPr>
          <w:rFonts w:ascii="Times New Roman" w:hAnsi="Times New Roman" w:cs="Times New Roman"/>
          <w:sz w:val="18"/>
          <w:szCs w:val="18"/>
          <w:rtl/>
        </w:rPr>
        <w:t xml:space="preserve">  </w:t>
      </w:r>
      <w:r w:rsidR="00314BBD" w:rsidRPr="003122A3">
        <w:rPr>
          <w:rFonts w:ascii="Times New Roman" w:hAnsi="Times New Roman" w:cs="Times New Roman"/>
          <w:sz w:val="18"/>
          <w:szCs w:val="18"/>
        </w:rPr>
        <w:t xml:space="preserve">       </w:t>
      </w:r>
      <w:r w:rsidRPr="003122A3">
        <w:rPr>
          <w:rFonts w:ascii="Times New Roman" w:hAnsi="Times New Roman" w:cs="Times New Roman"/>
          <w:sz w:val="18"/>
          <w:szCs w:val="18"/>
        </w:rPr>
        <w:t>Source</w:t>
      </w:r>
      <w:r w:rsidR="004A4552">
        <w:rPr>
          <w:rFonts w:ascii="Times New Roman" w:hAnsi="Times New Roman" w:cs="Times New Roman"/>
          <w:sz w:val="18"/>
          <w:szCs w:val="18"/>
        </w:rPr>
        <w:t>:</w:t>
      </w:r>
      <w:r w:rsidRPr="003122A3">
        <w:rPr>
          <w:rFonts w:ascii="Times New Roman" w:hAnsi="Times New Roman" w:cs="Times New Roman"/>
          <w:sz w:val="18"/>
          <w:szCs w:val="18"/>
        </w:rPr>
        <w:t xml:space="preserve"> Palestinian Central Bureau of Statistics, Household Culture Survey 2014, Main Finding Report. Ramallah – Palestine</w:t>
      </w:r>
      <w:r w:rsidR="00BB19F8" w:rsidRPr="003122A3">
        <w:rPr>
          <w:rFonts w:ascii="Times New Roman" w:hAnsi="Times New Roman" w:cs="Times New Roman"/>
          <w:b/>
          <w:bCs/>
          <w:sz w:val="18"/>
          <w:szCs w:val="18"/>
          <w:rtl/>
        </w:rPr>
        <w:t>.</w:t>
      </w:r>
    </w:p>
    <w:p w:rsidR="00BB6DA8" w:rsidRPr="003122A3" w:rsidRDefault="00BB6DA8" w:rsidP="008E657F">
      <w:pPr>
        <w:jc w:val="both"/>
        <w:rPr>
          <w:rStyle w:val="2H"/>
          <w:rFonts w:ascii="Times New Roman" w:hAnsi="Times New Roman" w:cs="Times New Roman"/>
          <w:b w:val="0"/>
          <w:bCs/>
          <w:szCs w:val="24"/>
          <w:rtl/>
          <w:lang w:val="en-GB"/>
        </w:rPr>
      </w:pPr>
    </w:p>
    <w:p w:rsidR="00BB6DA8" w:rsidRPr="003122A3" w:rsidRDefault="00BB6DA8" w:rsidP="008E657F">
      <w:pPr>
        <w:jc w:val="both"/>
        <w:rPr>
          <w:rStyle w:val="2H"/>
          <w:rFonts w:ascii="Times New Roman" w:eastAsia="SimSun" w:hAnsi="Times New Roman" w:cs="Times New Roman"/>
          <w:szCs w:val="24"/>
          <w:rtl/>
          <w:lang w:val="en-GB" w:eastAsia="ar-SA"/>
        </w:rPr>
      </w:pPr>
      <w:r w:rsidRPr="003122A3">
        <w:rPr>
          <w:rStyle w:val="2H"/>
          <w:rFonts w:ascii="Times New Roman" w:hAnsi="Times New Roman" w:cs="Times New Roman"/>
          <w:b w:val="0"/>
          <w:bCs/>
          <w:szCs w:val="24"/>
          <w:rtl/>
          <w:lang w:val="en-GB"/>
        </w:rPr>
        <w:br w:type="page"/>
      </w:r>
    </w:p>
    <w:p w:rsidR="00AA7F94" w:rsidRDefault="00AA7F94" w:rsidP="00677FAD">
      <w:pPr>
        <w:pStyle w:val="Heading1"/>
        <w:jc w:val="center"/>
        <w:rPr>
          <w:rStyle w:val="2H"/>
          <w:rFonts w:ascii="Times New Roman" w:hAnsi="Times New Roman" w:cs="Times New Roman"/>
          <w:color w:val="auto"/>
          <w:szCs w:val="24"/>
          <w:lang w:val="en-GB"/>
        </w:rPr>
      </w:pPr>
      <w:bookmarkStart w:id="113" w:name="_Toc420245009"/>
    </w:p>
    <w:p w:rsidR="00AA7F94" w:rsidRDefault="00AA7F94" w:rsidP="00AA7F94">
      <w:pPr>
        <w:rPr>
          <w:rStyle w:val="2H"/>
          <w:rFonts w:ascii="Times New Roman" w:eastAsiaTheme="majorEastAsia" w:hAnsi="Times New Roman" w:cs="Times New Roman"/>
          <w:b w:val="0"/>
          <w:bCs/>
          <w:szCs w:val="24"/>
          <w:lang w:val="en-GB"/>
        </w:rPr>
      </w:pPr>
      <w:r>
        <w:rPr>
          <w:rStyle w:val="2H"/>
          <w:rFonts w:ascii="Times New Roman" w:hAnsi="Times New Roman" w:cs="Times New Roman"/>
          <w:szCs w:val="24"/>
          <w:lang w:val="en-GB"/>
        </w:rPr>
        <w:br w:type="page"/>
      </w:r>
    </w:p>
    <w:p w:rsidR="001F303D" w:rsidRPr="00833BD7" w:rsidRDefault="007A418A" w:rsidP="00677FAD">
      <w:pPr>
        <w:pStyle w:val="Heading1"/>
        <w:jc w:val="center"/>
        <w:rPr>
          <w:rStyle w:val="2H"/>
          <w:rFonts w:ascii="Times New Roman" w:hAnsi="Times New Roman" w:cs="Times New Roman"/>
          <w:color w:val="auto"/>
          <w:sz w:val="22"/>
          <w:rtl/>
          <w:lang w:val="en-GB"/>
        </w:rPr>
      </w:pPr>
      <w:r w:rsidRPr="00833BD7">
        <w:rPr>
          <w:rStyle w:val="2H"/>
          <w:rFonts w:ascii="Times New Roman" w:hAnsi="Times New Roman" w:cs="Times New Roman"/>
          <w:color w:val="auto"/>
          <w:szCs w:val="24"/>
          <w:lang w:val="en-GB"/>
        </w:rPr>
        <w:t>Chapter Eight</w:t>
      </w:r>
      <w:bookmarkEnd w:id="113"/>
    </w:p>
    <w:p w:rsidR="00F14DFB" w:rsidRPr="00833BD7" w:rsidRDefault="007A418A" w:rsidP="00677FAD">
      <w:pPr>
        <w:pStyle w:val="Heading1"/>
        <w:jc w:val="center"/>
        <w:rPr>
          <w:rFonts w:ascii="Times New Roman" w:hAnsi="Times New Roman" w:cs="Times New Roman"/>
          <w:b w:val="0"/>
          <w:bCs w:val="0"/>
          <w:color w:val="auto"/>
          <w:rtl/>
          <w:lang w:val="en-GB" w:eastAsia="ar-SA"/>
        </w:rPr>
      </w:pPr>
      <w:bookmarkStart w:id="114" w:name="_Toc420245010"/>
      <w:r w:rsidRPr="00833BD7">
        <w:rPr>
          <w:rStyle w:val="2H"/>
          <w:rFonts w:ascii="Times New Roman" w:hAnsi="Times New Roman" w:cs="Times New Roman"/>
          <w:b/>
          <w:bCs w:val="0"/>
          <w:color w:val="auto"/>
          <w:sz w:val="28"/>
          <w:lang w:val="en-GB"/>
        </w:rPr>
        <w:t>Early Childhood Development</w:t>
      </w:r>
      <w:r w:rsidR="00833BD7">
        <w:rPr>
          <w:rStyle w:val="2H"/>
          <w:rFonts w:ascii="Times New Roman" w:hAnsi="Times New Roman" w:cs="Times New Roman"/>
          <w:b/>
          <w:bCs w:val="0"/>
          <w:color w:val="auto"/>
          <w:sz w:val="28"/>
          <w:lang w:val="en-GB"/>
        </w:rPr>
        <w:t xml:space="preserve"> </w:t>
      </w:r>
      <w:r w:rsidR="00F14DFB" w:rsidRPr="00833BD7">
        <w:rPr>
          <w:rStyle w:val="FootnoteReference"/>
          <w:rFonts w:ascii="Times New Roman" w:hAnsi="Times New Roman" w:cs="Times New Roman"/>
          <w:color w:val="auto"/>
          <w:rtl/>
          <w:lang w:val="en-GB"/>
        </w:rPr>
        <w:footnoteReference w:id="59"/>
      </w:r>
      <w:bookmarkEnd w:id="114"/>
    </w:p>
    <w:p w:rsidR="00314BBD" w:rsidRPr="003122A3" w:rsidRDefault="00314BBD" w:rsidP="00677FAD">
      <w:pPr>
        <w:pStyle w:val="Heading2"/>
        <w:ind w:firstLineChars="0" w:firstLine="0"/>
        <w:jc w:val="left"/>
        <w:rPr>
          <w:rFonts w:ascii="Times New Roman" w:hAnsi="Times New Roman" w:cs="Times New Roman"/>
          <w:lang w:val="en-GB"/>
        </w:rPr>
      </w:pPr>
      <w:bookmarkStart w:id="115" w:name="_Toc420245011"/>
    </w:p>
    <w:p w:rsidR="00314BBD" w:rsidRPr="003122A3" w:rsidRDefault="00314BBD" w:rsidP="00677FAD">
      <w:pPr>
        <w:pStyle w:val="Heading2"/>
        <w:ind w:firstLineChars="0" w:firstLine="0"/>
        <w:jc w:val="left"/>
        <w:rPr>
          <w:rFonts w:ascii="Times New Roman" w:hAnsi="Times New Roman" w:cs="Times New Roman"/>
          <w:lang w:val="en-GB"/>
        </w:rPr>
      </w:pPr>
    </w:p>
    <w:p w:rsidR="003E4D52" w:rsidRDefault="007A418A" w:rsidP="00677FAD">
      <w:pPr>
        <w:pStyle w:val="Heading2"/>
        <w:ind w:firstLineChars="0" w:firstLine="0"/>
        <w:jc w:val="left"/>
        <w:rPr>
          <w:rFonts w:ascii="Times New Roman" w:hAnsi="Times New Roman" w:cs="Times New Roman"/>
          <w:sz w:val="24"/>
          <w:szCs w:val="24"/>
          <w:lang w:val="en-GB"/>
        </w:rPr>
      </w:pPr>
      <w:r w:rsidRPr="003122A3">
        <w:rPr>
          <w:rFonts w:ascii="Times New Roman" w:hAnsi="Times New Roman" w:cs="Times New Roman"/>
          <w:sz w:val="24"/>
          <w:szCs w:val="24"/>
          <w:lang w:val="en-GB"/>
        </w:rPr>
        <w:t>8.1 Early Childhood Development Indicators</w:t>
      </w:r>
      <w:bookmarkEnd w:id="115"/>
    </w:p>
    <w:p w:rsidR="00E53648" w:rsidRPr="00AE72C8" w:rsidRDefault="00E53648" w:rsidP="00AE72C8">
      <w:pPr>
        <w:pStyle w:val="Heading3"/>
        <w:bidi w:val="0"/>
        <w:rPr>
          <w:rFonts w:cs="Times New Roman"/>
          <w:sz w:val="24"/>
          <w:szCs w:val="24"/>
          <w:rtl/>
          <w:lang w:val="en-GB" w:eastAsia="ar-SA"/>
        </w:rPr>
      </w:pPr>
    </w:p>
    <w:p w:rsidR="00727B83" w:rsidRPr="003122A3" w:rsidRDefault="00727B83" w:rsidP="00E53648">
      <w:pPr>
        <w:spacing w:after="0" w:line="240" w:lineRule="auto"/>
        <w:jc w:val="both"/>
        <w:rPr>
          <w:rFonts w:ascii="Times New Roman" w:hAnsi="Times New Roman" w:cs="Times New Roman"/>
          <w:sz w:val="24"/>
          <w:szCs w:val="24"/>
          <w:rtl/>
          <w:lang w:bidi="ar-JO"/>
        </w:rPr>
      </w:pPr>
      <w:r w:rsidRPr="003122A3">
        <w:rPr>
          <w:rFonts w:ascii="Times New Roman" w:hAnsi="Times New Roman" w:cs="Times New Roman"/>
          <w:sz w:val="24"/>
          <w:szCs w:val="24"/>
          <w:lang w:bidi="ar-JO"/>
        </w:rPr>
        <w:t>Early Childhood Development is a predictable organized process through stages of development during which mo</w:t>
      </w:r>
      <w:r w:rsidR="00A72A4A" w:rsidRPr="003122A3">
        <w:rPr>
          <w:rFonts w:ascii="Times New Roman" w:hAnsi="Times New Roman" w:cs="Times New Roman"/>
          <w:sz w:val="24"/>
          <w:szCs w:val="24"/>
          <w:lang w:bidi="ar-JO"/>
        </w:rPr>
        <w:t>bility</w:t>
      </w:r>
      <w:r w:rsidRPr="003122A3">
        <w:rPr>
          <w:rFonts w:ascii="Times New Roman" w:hAnsi="Times New Roman" w:cs="Times New Roman"/>
          <w:sz w:val="24"/>
          <w:szCs w:val="24"/>
          <w:lang w:bidi="ar-JO"/>
        </w:rPr>
        <w:t xml:space="preserve">, cognitive, speech, emotional and social milestones are </w:t>
      </w:r>
      <w:proofErr w:type="spellStart"/>
      <w:r w:rsidRPr="003122A3">
        <w:rPr>
          <w:rFonts w:ascii="Times New Roman" w:hAnsi="Times New Roman" w:cs="Times New Roman"/>
          <w:sz w:val="24"/>
          <w:szCs w:val="24"/>
          <w:lang w:bidi="ar-JO"/>
        </w:rPr>
        <w:t>archieved</w:t>
      </w:r>
      <w:proofErr w:type="spellEnd"/>
      <w:r w:rsidRPr="003122A3">
        <w:rPr>
          <w:rFonts w:ascii="Times New Roman" w:hAnsi="Times New Roman" w:cs="Times New Roman"/>
          <w:sz w:val="24"/>
          <w:szCs w:val="24"/>
          <w:lang w:bidi="ar-JO"/>
        </w:rPr>
        <w:t xml:space="preserve">. </w:t>
      </w:r>
      <w:r w:rsidRPr="003122A3">
        <w:rPr>
          <w:rFonts w:ascii="Times New Roman" w:hAnsi="Times New Roman" w:cs="Times New Roman"/>
          <w:sz w:val="24"/>
          <w:szCs w:val="24"/>
        </w:rPr>
        <w:t xml:space="preserve">Physical development,  literacy and numeracy and social and emotional development, along with an eagerness to learn, are vital to the healthy development of a child and form the basis of all human development. An early childhood development index (ECDI). This index </w:t>
      </w:r>
      <w:proofErr w:type="spellStart"/>
      <w:r w:rsidRPr="003122A3">
        <w:rPr>
          <w:rFonts w:ascii="Times New Roman" w:hAnsi="Times New Roman" w:cs="Times New Roman"/>
          <w:sz w:val="24"/>
          <w:szCs w:val="24"/>
        </w:rPr>
        <w:t>referes</w:t>
      </w:r>
      <w:proofErr w:type="spellEnd"/>
      <w:r w:rsidRPr="003122A3">
        <w:rPr>
          <w:rFonts w:ascii="Times New Roman" w:hAnsi="Times New Roman" w:cs="Times New Roman"/>
          <w:sz w:val="24"/>
          <w:szCs w:val="24"/>
        </w:rPr>
        <w:t xml:space="preserve"> to measurements of the status of development of children with the objective of enriching public policy information on the status of development of children in Palestine with regard to literacy/numeracy, physical development, social/emotional development and learning. The indicators in this manual show the percentages of children who are on track developmentally in at least three of these four areas.</w:t>
      </w:r>
    </w:p>
    <w:p w:rsidR="00727B83" w:rsidRDefault="00727B83" w:rsidP="00E53648">
      <w:pPr>
        <w:spacing w:after="0" w:line="240" w:lineRule="auto"/>
        <w:jc w:val="both"/>
        <w:rPr>
          <w:rFonts w:ascii="Times New Roman" w:hAnsi="Times New Roman" w:cs="Times New Roman"/>
          <w:sz w:val="24"/>
          <w:szCs w:val="24"/>
          <w:lang w:val="en-GB" w:bidi="ar-JO"/>
        </w:rPr>
      </w:pPr>
      <w:r w:rsidRPr="003122A3">
        <w:rPr>
          <w:rFonts w:ascii="Times New Roman" w:hAnsi="Times New Roman" w:cs="Times New Roman"/>
          <w:sz w:val="24"/>
          <w:szCs w:val="24"/>
          <w:lang w:val="en-GB" w:bidi="ar-JO"/>
        </w:rPr>
        <w:t xml:space="preserve">72% of children aged 3-4 years are developmentally in track; analysis of the four areas of child development showed that 96.1% of children are on track for physical development while less than 91.7% are educationally on track in terms of literacy – </w:t>
      </w:r>
      <w:proofErr w:type="spellStart"/>
      <w:r w:rsidRPr="003122A3">
        <w:rPr>
          <w:rFonts w:ascii="Times New Roman" w:hAnsi="Times New Roman" w:cs="Times New Roman"/>
          <w:sz w:val="24"/>
          <w:szCs w:val="24"/>
          <w:lang w:val="en-GB" w:bidi="ar-JO"/>
        </w:rPr>
        <w:t>numeracy</w:t>
      </w:r>
      <w:proofErr w:type="spellEnd"/>
      <w:r w:rsidRPr="003122A3">
        <w:rPr>
          <w:rFonts w:ascii="Times New Roman" w:hAnsi="Times New Roman" w:cs="Times New Roman"/>
          <w:sz w:val="24"/>
          <w:szCs w:val="24"/>
          <w:lang w:val="en-GB" w:bidi="ar-JO"/>
        </w:rPr>
        <w:t xml:space="preserve"> (22.0%) and 71.3% are on track in terms of social-emotional development. The high </w:t>
      </w:r>
      <w:proofErr w:type="spellStart"/>
      <w:r w:rsidRPr="003122A3">
        <w:rPr>
          <w:rFonts w:ascii="Times New Roman" w:hAnsi="Times New Roman" w:cs="Times New Roman"/>
          <w:sz w:val="24"/>
          <w:szCs w:val="24"/>
          <w:lang w:val="en-GB" w:bidi="ar-JO"/>
        </w:rPr>
        <w:t>profress</w:t>
      </w:r>
      <w:proofErr w:type="spellEnd"/>
      <w:r w:rsidRPr="003122A3">
        <w:rPr>
          <w:rFonts w:ascii="Times New Roman" w:hAnsi="Times New Roman" w:cs="Times New Roman"/>
          <w:sz w:val="24"/>
          <w:szCs w:val="24"/>
          <w:lang w:val="en-GB" w:bidi="ar-JO"/>
        </w:rPr>
        <w:t xml:space="preserve"> rate in all areas </w:t>
      </w:r>
      <w:proofErr w:type="spellStart"/>
      <w:r w:rsidRPr="003122A3">
        <w:rPr>
          <w:rFonts w:ascii="Times New Roman" w:hAnsi="Times New Roman" w:cs="Times New Roman"/>
          <w:sz w:val="24"/>
          <w:szCs w:val="24"/>
          <w:lang w:val="en-GB" w:bidi="ar-JO"/>
        </w:rPr>
        <w:t>individuslly</w:t>
      </w:r>
      <w:proofErr w:type="spellEnd"/>
      <w:r w:rsidRPr="003122A3">
        <w:rPr>
          <w:rFonts w:ascii="Times New Roman" w:hAnsi="Times New Roman" w:cs="Times New Roman"/>
          <w:sz w:val="24"/>
          <w:szCs w:val="24"/>
          <w:lang w:val="en-GB" w:bidi="ar-JO"/>
        </w:rPr>
        <w:t xml:space="preserve"> is mainly due to children in the richer households who regularly attend preschool education and older children and among male children.</w:t>
      </w:r>
    </w:p>
    <w:p w:rsidR="00E53648" w:rsidRPr="003122A3" w:rsidRDefault="00E53648" w:rsidP="00E53648">
      <w:pPr>
        <w:spacing w:after="0" w:line="240" w:lineRule="auto"/>
        <w:jc w:val="both"/>
        <w:rPr>
          <w:rFonts w:ascii="Times New Roman" w:hAnsi="Times New Roman" w:cs="Times New Roman"/>
          <w:sz w:val="24"/>
          <w:szCs w:val="24"/>
          <w:rtl/>
          <w:lang w:val="en-GB" w:bidi="ar-JO"/>
        </w:rPr>
      </w:pPr>
    </w:p>
    <w:p w:rsidR="00727B83" w:rsidRPr="003122A3" w:rsidRDefault="00277422" w:rsidP="003D3155">
      <w:pPr>
        <w:pStyle w:val="Caption"/>
        <w:bidi w:val="0"/>
        <w:rPr>
          <w:b w:val="0"/>
          <w:bCs w:val="0"/>
          <w:sz w:val="22"/>
          <w:szCs w:val="22"/>
          <w:rtl/>
          <w:lang w:val="en-GB" w:bidi="ar-JO"/>
        </w:rPr>
      </w:pPr>
      <w:bookmarkStart w:id="116" w:name="_Toc420268263"/>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49</w:t>
      </w:r>
      <w:r w:rsidR="008F57C8" w:rsidRPr="003122A3">
        <w:rPr>
          <w:sz w:val="22"/>
          <w:szCs w:val="24"/>
        </w:rPr>
        <w:fldChar w:fldCharType="end"/>
      </w:r>
      <w:r w:rsidRPr="003122A3">
        <w:rPr>
          <w:sz w:val="22"/>
          <w:szCs w:val="24"/>
        </w:rPr>
        <w:t>: EDCI according to Wealth</w:t>
      </w:r>
      <w:r w:rsidR="00D44914">
        <w:rPr>
          <w:sz w:val="22"/>
          <w:szCs w:val="24"/>
        </w:rPr>
        <w:t xml:space="preserve"> index</w:t>
      </w:r>
      <w:r w:rsidRPr="003122A3">
        <w:rPr>
          <w:sz w:val="22"/>
          <w:szCs w:val="24"/>
        </w:rPr>
        <w:t>, 2014</w:t>
      </w:r>
      <w:bookmarkEnd w:id="116"/>
    </w:p>
    <w:p w:rsidR="001039C1" w:rsidRPr="003122A3" w:rsidRDefault="001039C1" w:rsidP="003D3155">
      <w:pPr>
        <w:jc w:val="center"/>
        <w:rPr>
          <w:rFonts w:ascii="Times New Roman" w:hAnsi="Times New Roman" w:cs="Times New Roman"/>
          <w:b/>
          <w:bCs/>
          <w:sz w:val="24"/>
          <w:szCs w:val="24"/>
          <w:rtl/>
          <w:lang w:val="en-GB" w:bidi="ar-JO"/>
        </w:rPr>
      </w:pPr>
      <w:r w:rsidRPr="003122A3">
        <w:rPr>
          <w:rFonts w:ascii="Times New Roman" w:hAnsi="Times New Roman" w:cs="Times New Roman"/>
          <w:b/>
          <w:bCs/>
          <w:noProof/>
          <w:sz w:val="24"/>
          <w:szCs w:val="24"/>
          <w:rtl/>
        </w:rPr>
        <w:drawing>
          <wp:inline distT="0" distB="0" distL="0" distR="0">
            <wp:extent cx="5647606" cy="2113471"/>
            <wp:effectExtent l="19050" t="0" r="10244" b="1079"/>
            <wp:docPr id="28"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727B83" w:rsidRDefault="00727B83" w:rsidP="00E53648">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The following </w:t>
      </w:r>
      <w:r w:rsidR="00677FAD" w:rsidRPr="003122A3">
        <w:rPr>
          <w:rFonts w:ascii="Times New Roman" w:hAnsi="Times New Roman" w:cs="Times New Roman"/>
          <w:sz w:val="24"/>
          <w:szCs w:val="24"/>
        </w:rPr>
        <w:t>figures</w:t>
      </w:r>
      <w:r w:rsidRPr="003122A3">
        <w:rPr>
          <w:rFonts w:ascii="Times New Roman" w:hAnsi="Times New Roman" w:cs="Times New Roman"/>
          <w:sz w:val="24"/>
          <w:szCs w:val="24"/>
        </w:rPr>
        <w:t xml:space="preserve"> indicate the percentages of children aged 36-59 months who were on track with their development in terms of literacy and numeracy, emotional, physical and educational development. The indicators for early childhood development are shown for 2014 by region, gender, type of locality, maternal education, wealth index, age, and early enrollment in pre-school education.</w:t>
      </w:r>
    </w:p>
    <w:p w:rsidR="00833BD7" w:rsidRDefault="00833BD7" w:rsidP="003D3155">
      <w:pPr>
        <w:jc w:val="both"/>
        <w:rPr>
          <w:rFonts w:ascii="Times New Roman" w:hAnsi="Times New Roman" w:cs="Times New Roman"/>
          <w:sz w:val="24"/>
          <w:szCs w:val="24"/>
        </w:rPr>
      </w:pPr>
    </w:p>
    <w:p w:rsidR="00E53648" w:rsidRDefault="00E53648" w:rsidP="003D3155">
      <w:pPr>
        <w:jc w:val="both"/>
        <w:rPr>
          <w:rFonts w:ascii="Times New Roman" w:hAnsi="Times New Roman" w:cs="Times New Roman"/>
          <w:sz w:val="24"/>
          <w:szCs w:val="24"/>
        </w:rPr>
      </w:pPr>
    </w:p>
    <w:p w:rsidR="00E53648" w:rsidRPr="003122A3" w:rsidRDefault="00E53648" w:rsidP="003D3155">
      <w:pPr>
        <w:jc w:val="both"/>
        <w:rPr>
          <w:rFonts w:ascii="Times New Roman" w:hAnsi="Times New Roman" w:cs="Times New Roman"/>
          <w:sz w:val="24"/>
          <w:szCs w:val="24"/>
          <w:rtl/>
        </w:rPr>
      </w:pPr>
    </w:p>
    <w:p w:rsidR="00277422" w:rsidRPr="003122A3" w:rsidRDefault="00277422" w:rsidP="00A72A4A">
      <w:pPr>
        <w:pStyle w:val="Caption"/>
        <w:bidi w:val="0"/>
        <w:rPr>
          <w:sz w:val="22"/>
          <w:szCs w:val="22"/>
        </w:rPr>
      </w:pPr>
      <w:bookmarkStart w:id="117" w:name="_Toc420268264"/>
      <w:r w:rsidRPr="003122A3">
        <w:rPr>
          <w:sz w:val="22"/>
          <w:szCs w:val="22"/>
        </w:rPr>
        <w:t>Figure</w:t>
      </w:r>
      <w:r w:rsidR="003D3155"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50</w:t>
      </w:r>
      <w:r w:rsidR="008F57C8" w:rsidRPr="003122A3">
        <w:rPr>
          <w:sz w:val="22"/>
          <w:szCs w:val="22"/>
          <w:rtl/>
        </w:rPr>
        <w:fldChar w:fldCharType="end"/>
      </w:r>
      <w:r w:rsidRPr="003122A3">
        <w:rPr>
          <w:sz w:val="22"/>
          <w:szCs w:val="22"/>
        </w:rPr>
        <w:t xml:space="preserve">: Indicator of Early Childhood Development by Type of Locality, </w:t>
      </w:r>
      <w:r w:rsidR="00A72A4A" w:rsidRPr="003122A3">
        <w:rPr>
          <w:sz w:val="22"/>
          <w:szCs w:val="22"/>
        </w:rPr>
        <w:t>Sex</w:t>
      </w:r>
      <w:r w:rsidRPr="003122A3">
        <w:rPr>
          <w:sz w:val="22"/>
          <w:szCs w:val="22"/>
        </w:rPr>
        <w:t xml:space="preserve"> and Region, 2014</w:t>
      </w:r>
      <w:bookmarkEnd w:id="117"/>
    </w:p>
    <w:p w:rsidR="001039C1" w:rsidRPr="003122A3" w:rsidRDefault="001039C1" w:rsidP="003D3155">
      <w:pPr>
        <w:jc w:val="center"/>
        <w:rPr>
          <w:rFonts w:ascii="Times New Roman" w:hAnsi="Times New Roman" w:cs="Times New Roman"/>
          <w:b/>
          <w:bCs/>
          <w:sz w:val="24"/>
          <w:szCs w:val="24"/>
          <w:rtl/>
        </w:rPr>
      </w:pPr>
      <w:r w:rsidRPr="003122A3">
        <w:rPr>
          <w:rFonts w:ascii="Times New Roman" w:hAnsi="Times New Roman" w:cs="Times New Roman"/>
          <w:b/>
          <w:bCs/>
          <w:noProof/>
          <w:sz w:val="24"/>
          <w:szCs w:val="24"/>
          <w:rtl/>
        </w:rPr>
        <w:drawing>
          <wp:inline distT="0" distB="0" distL="0" distR="0">
            <wp:extent cx="5760085" cy="2095500"/>
            <wp:effectExtent l="19050" t="0" r="12065" b="0"/>
            <wp:docPr id="3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E47D58" w:rsidRDefault="00EC28F5" w:rsidP="00E53648">
      <w:pPr>
        <w:spacing w:after="0" w:line="240" w:lineRule="auto"/>
        <w:jc w:val="both"/>
        <w:rPr>
          <w:rFonts w:ascii="Times New Roman" w:hAnsi="Times New Roman" w:cs="Times New Roman"/>
          <w:sz w:val="24"/>
          <w:szCs w:val="24"/>
        </w:rPr>
      </w:pPr>
      <w:r w:rsidRPr="003122A3">
        <w:rPr>
          <w:rFonts w:ascii="Times New Roman" w:hAnsi="Times New Roman" w:cs="Times New Roman"/>
          <w:sz w:val="18"/>
          <w:szCs w:val="18"/>
          <w:rtl/>
        </w:rPr>
        <w:t xml:space="preserve"> </w:t>
      </w:r>
      <w:r w:rsidR="00727B83" w:rsidRPr="003122A3">
        <w:rPr>
          <w:rFonts w:ascii="Times New Roman" w:hAnsi="Times New Roman" w:cs="Times New Roman"/>
          <w:sz w:val="24"/>
          <w:szCs w:val="24"/>
        </w:rPr>
        <w:t>Around 72% of children aged 36-59 months were on track developmentally (76.7% of females and 67.6% of males). Figures were higher for children from the West Bank (76.0%) than children from the Gaza Strip (67.5%). Children from rural areas (75.6%) performed better than children in urban areas (72.3%) and refugee camps (63.5%).</w:t>
      </w:r>
    </w:p>
    <w:p w:rsidR="00E53648" w:rsidRPr="003122A3" w:rsidRDefault="00E53648" w:rsidP="00E53648">
      <w:pPr>
        <w:spacing w:after="0" w:line="240" w:lineRule="auto"/>
        <w:jc w:val="both"/>
        <w:rPr>
          <w:rFonts w:ascii="Times New Roman" w:hAnsi="Times New Roman" w:cs="Times New Roman"/>
          <w:sz w:val="24"/>
          <w:szCs w:val="24"/>
          <w:rtl/>
          <w:lang w:val="en-GB" w:bidi="ar-JO"/>
        </w:rPr>
      </w:pPr>
    </w:p>
    <w:p w:rsidR="00277422" w:rsidRPr="003122A3" w:rsidRDefault="00277422" w:rsidP="003D3155">
      <w:pPr>
        <w:pStyle w:val="Caption"/>
        <w:bidi w:val="0"/>
        <w:rPr>
          <w:sz w:val="22"/>
          <w:szCs w:val="22"/>
        </w:rPr>
      </w:pPr>
      <w:bookmarkStart w:id="118" w:name="_Toc420268265"/>
      <w:r w:rsidRPr="003122A3">
        <w:rPr>
          <w:sz w:val="22"/>
          <w:szCs w:val="22"/>
        </w:rPr>
        <w:t>Figure</w:t>
      </w:r>
      <w:r w:rsidR="00FE6C0D"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Figure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51</w:t>
      </w:r>
      <w:r w:rsidR="008F57C8" w:rsidRPr="003122A3">
        <w:rPr>
          <w:sz w:val="22"/>
          <w:szCs w:val="22"/>
          <w:rtl/>
        </w:rPr>
        <w:fldChar w:fldCharType="end"/>
      </w:r>
      <w:r w:rsidRPr="003122A3">
        <w:rPr>
          <w:sz w:val="22"/>
          <w:szCs w:val="22"/>
        </w:rPr>
        <w:t>: Indicator of Early Childhood Development by Pre-School Enrollment and Age, 2014</w:t>
      </w:r>
      <w:bookmarkEnd w:id="118"/>
    </w:p>
    <w:p w:rsidR="001039C1" w:rsidRPr="003122A3" w:rsidRDefault="001039C1" w:rsidP="003D3155">
      <w:pPr>
        <w:jc w:val="center"/>
        <w:rPr>
          <w:rFonts w:ascii="Times New Roman" w:hAnsi="Times New Roman" w:cs="Times New Roman"/>
          <w:b/>
          <w:bCs/>
          <w:sz w:val="24"/>
          <w:szCs w:val="24"/>
          <w:rtl/>
          <w:lang w:val="en-GB" w:bidi="ar-JO"/>
        </w:rPr>
      </w:pPr>
      <w:r w:rsidRPr="003122A3">
        <w:rPr>
          <w:rFonts w:ascii="Times New Roman" w:hAnsi="Times New Roman" w:cs="Times New Roman"/>
          <w:b/>
          <w:bCs/>
          <w:noProof/>
          <w:sz w:val="24"/>
          <w:szCs w:val="24"/>
          <w:rtl/>
        </w:rPr>
        <w:drawing>
          <wp:inline distT="0" distB="0" distL="0" distR="0">
            <wp:extent cx="5751495" cy="1940944"/>
            <wp:effectExtent l="19050" t="0" r="20655" b="2156"/>
            <wp:docPr id="48"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727B83" w:rsidRPr="003122A3" w:rsidRDefault="00EC28F5" w:rsidP="00E53648">
      <w:pPr>
        <w:spacing w:after="0" w:line="240" w:lineRule="auto"/>
        <w:jc w:val="both"/>
        <w:rPr>
          <w:rFonts w:ascii="Times New Roman" w:hAnsi="Times New Roman" w:cs="Times New Roman"/>
          <w:sz w:val="24"/>
          <w:szCs w:val="24"/>
        </w:rPr>
      </w:pPr>
      <w:r w:rsidRPr="003122A3">
        <w:rPr>
          <w:rFonts w:ascii="Times New Roman" w:hAnsi="Times New Roman" w:cs="Times New Roman"/>
          <w:sz w:val="18"/>
          <w:szCs w:val="18"/>
          <w:rtl/>
        </w:rPr>
        <w:t xml:space="preserve"> </w:t>
      </w:r>
      <w:r w:rsidR="00727B83" w:rsidRPr="003122A3">
        <w:rPr>
          <w:rFonts w:ascii="Times New Roman" w:hAnsi="Times New Roman" w:cs="Times New Roman"/>
          <w:sz w:val="24"/>
          <w:szCs w:val="24"/>
        </w:rPr>
        <w:t>As expected, early childhood development indicators were much higher for children in the 48-59 age group (78.7%) than for children in the 36-47 month age group (65.7%) as children acquire more skills over time. Figures were also higher for children who attended preschool (86.5%) than for those who did not (66.8%).</w:t>
      </w:r>
    </w:p>
    <w:p w:rsidR="003D3155" w:rsidRPr="003122A3" w:rsidRDefault="003D3155" w:rsidP="00277422">
      <w:pPr>
        <w:pStyle w:val="Caption"/>
        <w:bidi w:val="0"/>
        <w:jc w:val="both"/>
      </w:pPr>
      <w:bookmarkStart w:id="119" w:name="_Toc420268266"/>
    </w:p>
    <w:p w:rsidR="00727B83" w:rsidRPr="003122A3" w:rsidRDefault="00277422" w:rsidP="00D44914">
      <w:pPr>
        <w:pStyle w:val="Caption"/>
        <w:bidi w:val="0"/>
        <w:rPr>
          <w:b w:val="0"/>
          <w:bCs w:val="0"/>
          <w:sz w:val="22"/>
          <w:szCs w:val="22"/>
        </w:rPr>
      </w:pPr>
      <w:r w:rsidRPr="003122A3">
        <w:rPr>
          <w:sz w:val="22"/>
          <w:szCs w:val="24"/>
        </w:rPr>
        <w:t xml:space="preserve">Figure </w:t>
      </w:r>
      <w:r w:rsidR="008F57C8" w:rsidRPr="003122A3">
        <w:rPr>
          <w:sz w:val="22"/>
          <w:szCs w:val="24"/>
        </w:rPr>
        <w:fldChar w:fldCharType="begin"/>
      </w:r>
      <w:r w:rsidRPr="003122A3">
        <w:rPr>
          <w:sz w:val="22"/>
          <w:szCs w:val="24"/>
        </w:rPr>
        <w:instrText xml:space="preserve"> SEQ Figure \* ARABIC </w:instrText>
      </w:r>
      <w:r w:rsidR="008F57C8" w:rsidRPr="003122A3">
        <w:rPr>
          <w:sz w:val="22"/>
          <w:szCs w:val="24"/>
        </w:rPr>
        <w:fldChar w:fldCharType="separate"/>
      </w:r>
      <w:r w:rsidR="001626F1">
        <w:rPr>
          <w:sz w:val="22"/>
          <w:szCs w:val="24"/>
        </w:rPr>
        <w:t>52</w:t>
      </w:r>
      <w:r w:rsidR="008F57C8" w:rsidRPr="003122A3">
        <w:rPr>
          <w:sz w:val="22"/>
          <w:szCs w:val="24"/>
        </w:rPr>
        <w:fldChar w:fldCharType="end"/>
      </w:r>
      <w:r w:rsidRPr="003122A3">
        <w:rPr>
          <w:sz w:val="22"/>
          <w:szCs w:val="24"/>
        </w:rPr>
        <w:t>: Indicator of Early Childhood Development by Wealth Ind</w:t>
      </w:r>
      <w:r w:rsidR="00D51583" w:rsidRPr="003122A3">
        <w:rPr>
          <w:sz w:val="22"/>
          <w:szCs w:val="24"/>
        </w:rPr>
        <w:t>ex</w:t>
      </w:r>
      <w:r w:rsidRPr="003122A3">
        <w:rPr>
          <w:sz w:val="22"/>
          <w:szCs w:val="24"/>
        </w:rPr>
        <w:t xml:space="preserve"> and M</w:t>
      </w:r>
      <w:r w:rsidR="00D44914">
        <w:rPr>
          <w:sz w:val="22"/>
          <w:szCs w:val="24"/>
        </w:rPr>
        <w:t>other’s</w:t>
      </w:r>
      <w:r w:rsidRPr="003122A3">
        <w:rPr>
          <w:sz w:val="22"/>
          <w:szCs w:val="24"/>
        </w:rPr>
        <w:t xml:space="preserve"> Education, 2014</w:t>
      </w:r>
      <w:bookmarkEnd w:id="119"/>
    </w:p>
    <w:p w:rsidR="001039C1" w:rsidRPr="003122A3" w:rsidRDefault="001039C1" w:rsidP="003D3155">
      <w:pPr>
        <w:jc w:val="center"/>
        <w:rPr>
          <w:rFonts w:ascii="Times New Roman" w:hAnsi="Times New Roman" w:cs="Times New Roman"/>
          <w:b/>
          <w:bCs/>
          <w:sz w:val="24"/>
          <w:szCs w:val="24"/>
          <w:rtl/>
          <w:lang w:val="en-GB"/>
        </w:rPr>
      </w:pPr>
      <w:r w:rsidRPr="003122A3">
        <w:rPr>
          <w:rFonts w:ascii="Times New Roman" w:hAnsi="Times New Roman" w:cs="Times New Roman"/>
          <w:b/>
          <w:bCs/>
          <w:noProof/>
          <w:sz w:val="24"/>
          <w:szCs w:val="24"/>
          <w:rtl/>
        </w:rPr>
        <w:drawing>
          <wp:inline distT="0" distB="0" distL="0" distR="0">
            <wp:extent cx="5760000" cy="2185797"/>
            <wp:effectExtent l="19050" t="0" r="12150" b="4953"/>
            <wp:docPr id="5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727B83" w:rsidRDefault="00727B83" w:rsidP="00E53648">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Fewer children among the poorest households demonstrated age-appropriate development (63.1%) than those from the richest households (81.2%). There was a strong correlation between competency in literacy and numeracy and levels of maternal education.</w:t>
      </w:r>
    </w:p>
    <w:p w:rsidR="00E53648" w:rsidRPr="003122A3" w:rsidRDefault="00E53648" w:rsidP="00E53648">
      <w:pPr>
        <w:spacing w:after="0" w:line="240" w:lineRule="auto"/>
        <w:jc w:val="both"/>
        <w:rPr>
          <w:rFonts w:ascii="Times New Roman" w:hAnsi="Times New Roman" w:cs="Times New Roman"/>
          <w:sz w:val="24"/>
          <w:szCs w:val="24"/>
        </w:rPr>
      </w:pPr>
    </w:p>
    <w:p w:rsidR="00727B83" w:rsidRPr="003122A3" w:rsidRDefault="00727B83" w:rsidP="00677FAD">
      <w:pPr>
        <w:pStyle w:val="Heading2"/>
        <w:ind w:firstLineChars="0" w:firstLine="0"/>
        <w:jc w:val="left"/>
        <w:rPr>
          <w:rFonts w:ascii="Times New Roman" w:hAnsi="Times New Roman" w:cs="Times New Roman"/>
          <w:sz w:val="24"/>
          <w:szCs w:val="24"/>
        </w:rPr>
      </w:pPr>
      <w:bookmarkStart w:id="120" w:name="_Toc420245012"/>
      <w:r w:rsidRPr="003122A3">
        <w:rPr>
          <w:rFonts w:ascii="Times New Roman" w:hAnsi="Times New Roman" w:cs="Times New Roman"/>
          <w:sz w:val="24"/>
          <w:szCs w:val="24"/>
          <w:lang w:bidi="ar-JO"/>
        </w:rPr>
        <w:t xml:space="preserve">8.2 </w:t>
      </w:r>
      <w:r w:rsidRPr="003122A3">
        <w:rPr>
          <w:rFonts w:ascii="Times New Roman" w:hAnsi="Times New Roman" w:cs="Times New Roman"/>
          <w:sz w:val="24"/>
          <w:szCs w:val="24"/>
        </w:rPr>
        <w:t>Support Children for Learning</w:t>
      </w:r>
      <w:bookmarkEnd w:id="120"/>
    </w:p>
    <w:p w:rsidR="00727B83" w:rsidRPr="003122A3" w:rsidRDefault="00727B83" w:rsidP="00E53648">
      <w:pPr>
        <w:spacing w:after="0" w:line="240" w:lineRule="auto"/>
        <w:jc w:val="both"/>
        <w:rPr>
          <w:rFonts w:ascii="Times New Roman" w:hAnsi="Times New Roman" w:cs="Times New Roman"/>
          <w:sz w:val="24"/>
          <w:szCs w:val="24"/>
        </w:rPr>
      </w:pPr>
    </w:p>
    <w:p w:rsidR="00C625B0" w:rsidRDefault="00727B83" w:rsidP="00E53648">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 xml:space="preserve">It has been well-established that rapid brain development takes place within the first 3-4 years of a child’s life and that quality of home care is a crucial factor in a child’s development. As a result, the availability of books in homes, the engagement of adults in activities with children, and the conditions of care are important indicators of the quality of the home environment. Physical and mental health and emotional security are important prerequisites to a child being ready for social interaction and intellectual stimulation.  </w:t>
      </w:r>
    </w:p>
    <w:p w:rsidR="00E53648" w:rsidRPr="003122A3" w:rsidRDefault="00E53648" w:rsidP="00E53648">
      <w:pPr>
        <w:spacing w:after="0" w:line="240" w:lineRule="auto"/>
        <w:jc w:val="both"/>
        <w:rPr>
          <w:rFonts w:ascii="Times New Roman" w:hAnsi="Times New Roman" w:cs="Times New Roman"/>
          <w:b/>
          <w:bCs/>
          <w:sz w:val="24"/>
          <w:szCs w:val="24"/>
          <w:lang w:bidi="ar-JO"/>
        </w:rPr>
      </w:pPr>
    </w:p>
    <w:p w:rsidR="00727B83" w:rsidRDefault="00727B83" w:rsidP="00BD09EF">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Information was collected on a number of activities that support early learning as part of the P</w:t>
      </w:r>
      <w:r w:rsidR="00BD09EF">
        <w:rPr>
          <w:rFonts w:ascii="Times New Roman" w:hAnsi="Times New Roman" w:cs="Times New Roman"/>
          <w:sz w:val="24"/>
          <w:szCs w:val="24"/>
        </w:rPr>
        <w:t>MICS</w:t>
      </w:r>
      <w:r w:rsidRPr="003122A3">
        <w:rPr>
          <w:rFonts w:ascii="Times New Roman" w:hAnsi="Times New Roman" w:cs="Times New Roman"/>
          <w:sz w:val="24"/>
          <w:szCs w:val="24"/>
        </w:rPr>
        <w:t xml:space="preserve"> in 2014. This included information on adults interacting with children in the following activities: reading books or comics together, storytelling, singing songs, accompanying children outside of the home, playing with children and doing other activities together such as crafts or counting.</w:t>
      </w:r>
    </w:p>
    <w:p w:rsidR="00E53648" w:rsidRPr="003122A3" w:rsidRDefault="00E53648" w:rsidP="00E53648">
      <w:pPr>
        <w:spacing w:after="0" w:line="240" w:lineRule="auto"/>
        <w:jc w:val="both"/>
        <w:rPr>
          <w:rFonts w:ascii="Times New Roman" w:hAnsi="Times New Roman" w:cs="Times New Roman"/>
          <w:sz w:val="24"/>
          <w:szCs w:val="24"/>
        </w:rPr>
      </w:pPr>
    </w:p>
    <w:p w:rsidR="00B570D1" w:rsidRPr="003122A3" w:rsidRDefault="00727B83" w:rsidP="00E53648">
      <w:pPr>
        <w:spacing w:after="0" w:line="240" w:lineRule="auto"/>
        <w:jc w:val="both"/>
        <w:rPr>
          <w:rFonts w:ascii="Times New Roman" w:hAnsi="Times New Roman" w:cs="Times New Roman"/>
          <w:sz w:val="24"/>
          <w:szCs w:val="24"/>
          <w:lang w:bidi="ar-JO"/>
        </w:rPr>
      </w:pPr>
      <w:r w:rsidRPr="003122A3">
        <w:rPr>
          <w:rFonts w:ascii="Times New Roman" w:hAnsi="Times New Roman" w:cs="Times New Roman"/>
          <w:sz w:val="24"/>
          <w:szCs w:val="24"/>
          <w:lang w:bidi="ar-JO"/>
        </w:rPr>
        <w:t xml:space="preserve">Eight out of every ten children under five (around 77.5%) had participated with one adult in more than four activities that develop learning and readiness for school during the three days preceding the survey. Data revealed variations on the basis of geographical regions (West Bank 82.7% compared with 71.5% </w:t>
      </w:r>
      <w:r w:rsidR="00A91E3A">
        <w:rPr>
          <w:rFonts w:ascii="Times New Roman" w:hAnsi="Times New Roman" w:cs="Times New Roman"/>
          <w:sz w:val="24"/>
          <w:szCs w:val="24"/>
          <w:lang w:bidi="ar-JO"/>
        </w:rPr>
        <w:t>in Gaza Strip</w:t>
      </w:r>
      <w:r w:rsidRPr="003122A3">
        <w:rPr>
          <w:rFonts w:ascii="Times New Roman" w:hAnsi="Times New Roman" w:cs="Times New Roman"/>
          <w:sz w:val="24"/>
          <w:szCs w:val="24"/>
          <w:lang w:bidi="ar-JO"/>
        </w:rPr>
        <w:t xml:space="preserve">). Findings were higher for children in rural areas (81.2%) compared to children in urban areas (77.6%) and camps (70.5%). Findings are also impacted by households’ socioeconomic situation and figures were higher for richer children compared to poorer children, with clear </w:t>
      </w:r>
      <w:proofErr w:type="spellStart"/>
      <w:r w:rsidRPr="003122A3">
        <w:rPr>
          <w:rFonts w:ascii="Times New Roman" w:hAnsi="Times New Roman" w:cs="Times New Roman"/>
          <w:sz w:val="24"/>
          <w:szCs w:val="24"/>
          <w:lang w:bidi="ar-JO"/>
        </w:rPr>
        <w:t>differneces</w:t>
      </w:r>
      <w:proofErr w:type="spellEnd"/>
      <w:r w:rsidRPr="003122A3">
        <w:rPr>
          <w:rFonts w:ascii="Times New Roman" w:hAnsi="Times New Roman" w:cs="Times New Roman"/>
          <w:sz w:val="24"/>
          <w:szCs w:val="24"/>
          <w:lang w:bidi="ar-JO"/>
        </w:rPr>
        <w:t xml:space="preserve"> across governorates.</w:t>
      </w:r>
    </w:p>
    <w:p w:rsidR="003D3155" w:rsidRPr="003122A3" w:rsidRDefault="003D3155" w:rsidP="00B570D1">
      <w:pPr>
        <w:jc w:val="both"/>
        <w:rPr>
          <w:rFonts w:ascii="Times New Roman" w:hAnsi="Times New Roman" w:cs="Times New Roman"/>
          <w:sz w:val="24"/>
          <w:szCs w:val="24"/>
          <w:lang w:bidi="ar-JO"/>
        </w:rPr>
      </w:pPr>
    </w:p>
    <w:p w:rsidR="00F51445" w:rsidRDefault="00F51445" w:rsidP="00B570D1">
      <w:pPr>
        <w:jc w:val="both"/>
        <w:rPr>
          <w:rFonts w:ascii="Times New Roman" w:hAnsi="Times New Roman" w:cs="Times New Roman"/>
          <w:sz w:val="24"/>
          <w:szCs w:val="24"/>
          <w:lang w:bidi="ar-JO"/>
        </w:rPr>
      </w:pPr>
    </w:p>
    <w:p w:rsidR="00E53648" w:rsidRDefault="00E53648" w:rsidP="00B570D1">
      <w:pPr>
        <w:jc w:val="both"/>
        <w:rPr>
          <w:rFonts w:ascii="Times New Roman" w:hAnsi="Times New Roman" w:cs="Times New Roman"/>
          <w:sz w:val="24"/>
          <w:szCs w:val="24"/>
          <w:lang w:bidi="ar-JO"/>
        </w:rPr>
      </w:pPr>
    </w:p>
    <w:p w:rsidR="00E53648" w:rsidRDefault="00E53648" w:rsidP="00B570D1">
      <w:pPr>
        <w:jc w:val="both"/>
        <w:rPr>
          <w:rFonts w:ascii="Times New Roman" w:hAnsi="Times New Roman" w:cs="Times New Roman"/>
          <w:sz w:val="24"/>
          <w:szCs w:val="24"/>
          <w:lang w:bidi="ar-JO"/>
        </w:rPr>
      </w:pPr>
    </w:p>
    <w:p w:rsidR="00E53648" w:rsidRDefault="00E53648" w:rsidP="00B570D1">
      <w:pPr>
        <w:jc w:val="both"/>
        <w:rPr>
          <w:rFonts w:ascii="Times New Roman" w:hAnsi="Times New Roman" w:cs="Times New Roman"/>
          <w:sz w:val="24"/>
          <w:szCs w:val="24"/>
          <w:lang w:bidi="ar-JO"/>
        </w:rPr>
      </w:pPr>
    </w:p>
    <w:p w:rsidR="00E53648" w:rsidRDefault="00E53648" w:rsidP="00B570D1">
      <w:pPr>
        <w:jc w:val="both"/>
        <w:rPr>
          <w:rFonts w:ascii="Times New Roman" w:hAnsi="Times New Roman" w:cs="Times New Roman"/>
          <w:sz w:val="24"/>
          <w:szCs w:val="24"/>
          <w:lang w:bidi="ar-JO"/>
        </w:rPr>
      </w:pPr>
    </w:p>
    <w:p w:rsidR="00E53648" w:rsidRDefault="00E53648" w:rsidP="00B570D1">
      <w:pPr>
        <w:jc w:val="both"/>
        <w:rPr>
          <w:rFonts w:ascii="Times New Roman" w:hAnsi="Times New Roman" w:cs="Times New Roman"/>
          <w:sz w:val="24"/>
          <w:szCs w:val="24"/>
          <w:lang w:bidi="ar-JO"/>
        </w:rPr>
      </w:pPr>
    </w:p>
    <w:p w:rsidR="00E53648" w:rsidRDefault="00E53648" w:rsidP="00B570D1">
      <w:pPr>
        <w:jc w:val="both"/>
        <w:rPr>
          <w:rFonts w:ascii="Times New Roman" w:hAnsi="Times New Roman" w:cs="Times New Roman"/>
          <w:sz w:val="24"/>
          <w:szCs w:val="24"/>
          <w:lang w:bidi="ar-JO"/>
        </w:rPr>
      </w:pPr>
    </w:p>
    <w:p w:rsidR="00F87D13" w:rsidRDefault="00F87D13" w:rsidP="00B570D1">
      <w:pPr>
        <w:jc w:val="both"/>
        <w:rPr>
          <w:rFonts w:ascii="Times New Roman" w:hAnsi="Times New Roman" w:cs="Times New Roman"/>
          <w:sz w:val="24"/>
          <w:szCs w:val="24"/>
          <w:lang w:bidi="ar-JO"/>
        </w:rPr>
      </w:pPr>
    </w:p>
    <w:p w:rsidR="00E53648" w:rsidRDefault="00E53648" w:rsidP="00B570D1">
      <w:pPr>
        <w:jc w:val="both"/>
        <w:rPr>
          <w:rFonts w:ascii="Times New Roman" w:hAnsi="Times New Roman" w:cs="Times New Roman"/>
          <w:sz w:val="24"/>
          <w:szCs w:val="24"/>
          <w:lang w:bidi="ar-JO"/>
        </w:rPr>
      </w:pPr>
    </w:p>
    <w:p w:rsidR="00E53648" w:rsidRDefault="00E53648" w:rsidP="00B570D1">
      <w:pPr>
        <w:jc w:val="both"/>
        <w:rPr>
          <w:rFonts w:ascii="Times New Roman" w:hAnsi="Times New Roman" w:cs="Times New Roman"/>
          <w:sz w:val="24"/>
          <w:szCs w:val="24"/>
          <w:lang w:bidi="ar-JO"/>
        </w:rPr>
      </w:pPr>
    </w:p>
    <w:p w:rsidR="00E53648" w:rsidRDefault="00E53648" w:rsidP="00B570D1">
      <w:pPr>
        <w:jc w:val="both"/>
        <w:rPr>
          <w:rFonts w:ascii="Times New Roman" w:hAnsi="Times New Roman" w:cs="Times New Roman"/>
          <w:sz w:val="24"/>
          <w:szCs w:val="24"/>
          <w:lang w:bidi="ar-JO"/>
        </w:rPr>
      </w:pPr>
    </w:p>
    <w:p w:rsidR="00E53648" w:rsidRPr="003122A3" w:rsidRDefault="00E53648" w:rsidP="00B570D1">
      <w:pPr>
        <w:jc w:val="both"/>
        <w:rPr>
          <w:rFonts w:ascii="Times New Roman" w:hAnsi="Times New Roman" w:cs="Times New Roman"/>
          <w:sz w:val="24"/>
          <w:szCs w:val="24"/>
          <w:lang w:bidi="ar-JO"/>
        </w:rPr>
      </w:pPr>
    </w:p>
    <w:p w:rsidR="00B570D1" w:rsidRPr="003122A3" w:rsidRDefault="00B570D1" w:rsidP="003D3155">
      <w:pPr>
        <w:pStyle w:val="Caption"/>
        <w:keepNext/>
        <w:bidi w:val="0"/>
        <w:rPr>
          <w:sz w:val="22"/>
          <w:szCs w:val="22"/>
        </w:rPr>
      </w:pPr>
      <w:bookmarkStart w:id="121" w:name="_Toc420269312"/>
      <w:r w:rsidRPr="003122A3">
        <w:rPr>
          <w:sz w:val="22"/>
          <w:szCs w:val="22"/>
        </w:rPr>
        <w:t>Table</w:t>
      </w:r>
      <w:r w:rsidR="00D51583"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14</w:t>
      </w:r>
      <w:r w:rsidR="008F57C8" w:rsidRPr="003122A3">
        <w:rPr>
          <w:sz w:val="22"/>
          <w:szCs w:val="22"/>
          <w:rtl/>
        </w:rPr>
        <w:fldChar w:fldCharType="end"/>
      </w:r>
      <w:r w:rsidRPr="003122A3">
        <w:rPr>
          <w:sz w:val="22"/>
          <w:szCs w:val="22"/>
        </w:rPr>
        <w:t>: Percentage of Children Aged 36-59 Months who Participated with one Adult Member of their Household in Activities that Stimulate Learning and Readiness for School, 2014</w:t>
      </w:r>
      <w:bookmarkEnd w:id="121"/>
    </w:p>
    <w:tbl>
      <w:tblPr>
        <w:tblStyle w:val="LightShading-Accent11"/>
        <w:tblW w:w="0" w:type="auto"/>
        <w:jc w:val="center"/>
        <w:tblLook w:val="04A0"/>
      </w:tblPr>
      <w:tblGrid>
        <w:gridCol w:w="2337"/>
        <w:gridCol w:w="2337"/>
        <w:gridCol w:w="2338"/>
        <w:gridCol w:w="2338"/>
      </w:tblGrid>
      <w:tr w:rsidR="00727B83" w:rsidRPr="003122A3" w:rsidTr="00F87D13">
        <w:trPr>
          <w:cnfStyle w:val="100000000000"/>
          <w:jc w:val="center"/>
        </w:trPr>
        <w:tc>
          <w:tcPr>
            <w:cnfStyle w:val="001000000000"/>
            <w:tcW w:w="2337" w:type="dxa"/>
            <w:tcBorders>
              <w:top w:val="single" w:sz="4" w:space="0" w:color="auto"/>
              <w:left w:val="single" w:sz="4" w:space="0" w:color="auto"/>
              <w:bottom w:val="single" w:sz="4" w:space="0" w:color="auto"/>
              <w:right w:val="single" w:sz="4" w:space="0" w:color="auto"/>
            </w:tcBorders>
            <w:vAlign w:val="center"/>
          </w:tcPr>
          <w:p w:rsidR="00727B83" w:rsidRPr="003122A3" w:rsidRDefault="00F579F1" w:rsidP="002B4903">
            <w:pPr>
              <w:spacing w:line="276" w:lineRule="auto"/>
              <w:jc w:val="center"/>
              <w:rPr>
                <w:rFonts w:ascii="Times New Roman" w:hAnsi="Times New Roman"/>
                <w:color w:val="auto"/>
                <w:sz w:val="20"/>
                <w:szCs w:val="20"/>
              </w:rPr>
            </w:pPr>
            <w:r>
              <w:rPr>
                <w:rFonts w:ascii="Times New Roman" w:hAnsi="Times New Roman"/>
                <w:color w:val="auto"/>
                <w:sz w:val="20"/>
                <w:szCs w:val="20"/>
              </w:rPr>
              <w:t>Background</w:t>
            </w:r>
            <w:r w:rsidR="00727B83" w:rsidRPr="003122A3">
              <w:rPr>
                <w:rFonts w:ascii="Times New Roman" w:hAnsi="Times New Roman"/>
                <w:color w:val="auto"/>
                <w:sz w:val="20"/>
                <w:szCs w:val="20"/>
              </w:rPr>
              <w:t xml:space="preserve"> characteristics</w:t>
            </w:r>
          </w:p>
        </w:tc>
        <w:tc>
          <w:tcPr>
            <w:tcW w:w="2337" w:type="dxa"/>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Percentage of children who participated with an adult family member in four or more activities</w:t>
            </w:r>
          </w:p>
        </w:tc>
        <w:tc>
          <w:tcPr>
            <w:tcW w:w="2338" w:type="dxa"/>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Percentage of children who participated with their biological fathers in four or more activities</w:t>
            </w:r>
          </w:p>
        </w:tc>
        <w:tc>
          <w:tcPr>
            <w:tcW w:w="2338" w:type="dxa"/>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center"/>
              <w:cnfStyle w:val="100000000000"/>
              <w:rPr>
                <w:rFonts w:ascii="Times New Roman" w:hAnsi="Times New Roman"/>
                <w:color w:val="auto"/>
                <w:sz w:val="20"/>
                <w:szCs w:val="20"/>
              </w:rPr>
            </w:pPr>
            <w:r w:rsidRPr="003122A3">
              <w:rPr>
                <w:rFonts w:ascii="Times New Roman" w:hAnsi="Times New Roman"/>
                <w:color w:val="auto"/>
                <w:sz w:val="20"/>
                <w:szCs w:val="20"/>
              </w:rPr>
              <w:t>Percentage of children who participated with their biological mothers in four or more activities</w:t>
            </w:r>
          </w:p>
        </w:tc>
      </w:tr>
      <w:tr w:rsidR="00727B83" w:rsidRPr="003122A3" w:rsidTr="00F87D13">
        <w:trPr>
          <w:cnfStyle w:val="000000100000"/>
          <w:jc w:val="center"/>
        </w:trPr>
        <w:tc>
          <w:tcPr>
            <w:cnfStyle w:val="001000000000"/>
            <w:tcW w:w="9350" w:type="dxa"/>
            <w:gridSpan w:val="4"/>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color w:val="auto"/>
                <w:sz w:val="20"/>
                <w:szCs w:val="20"/>
              </w:rPr>
            </w:pPr>
            <w:r w:rsidRPr="003122A3">
              <w:rPr>
                <w:rFonts w:ascii="Times New Roman" w:hAnsi="Times New Roman"/>
                <w:color w:val="auto"/>
                <w:sz w:val="20"/>
                <w:szCs w:val="20"/>
              </w:rPr>
              <w:t xml:space="preserve">Region </w:t>
            </w:r>
          </w:p>
        </w:tc>
      </w:tr>
      <w:tr w:rsidR="00727B83" w:rsidRPr="003122A3" w:rsidTr="00F87D13">
        <w:trPr>
          <w:jc w:val="center"/>
        </w:trPr>
        <w:tc>
          <w:tcPr>
            <w:cnfStyle w:val="001000000000"/>
            <w:tcW w:w="2337" w:type="dxa"/>
            <w:tcBorders>
              <w:top w:val="single" w:sz="4" w:space="0" w:color="auto"/>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West Bank</w:t>
            </w:r>
          </w:p>
        </w:tc>
        <w:tc>
          <w:tcPr>
            <w:tcW w:w="2337" w:type="dxa"/>
            <w:tcBorders>
              <w:top w:val="single" w:sz="4" w:space="0" w:color="auto"/>
              <w:left w:val="single" w:sz="4" w:space="0" w:color="auto"/>
              <w:bottom w:val="nil"/>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82.7</w:t>
            </w:r>
          </w:p>
        </w:tc>
        <w:tc>
          <w:tcPr>
            <w:tcW w:w="2338" w:type="dxa"/>
            <w:tcBorders>
              <w:top w:val="single" w:sz="4" w:space="0" w:color="auto"/>
              <w:bottom w:val="nil"/>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14.1</w:t>
            </w:r>
          </w:p>
        </w:tc>
        <w:tc>
          <w:tcPr>
            <w:tcW w:w="2338" w:type="dxa"/>
            <w:tcBorders>
              <w:top w:val="single" w:sz="4" w:space="0" w:color="auto"/>
              <w:bottom w:val="nil"/>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59.2</w:t>
            </w:r>
          </w:p>
        </w:tc>
      </w:tr>
      <w:tr w:rsidR="00727B83" w:rsidRPr="003122A3" w:rsidTr="00F87D13">
        <w:trPr>
          <w:cnfStyle w:val="000000100000"/>
          <w:jc w:val="center"/>
        </w:trPr>
        <w:tc>
          <w:tcPr>
            <w:cnfStyle w:val="001000000000"/>
            <w:tcW w:w="2337" w:type="dxa"/>
            <w:tcBorders>
              <w:top w:val="nil"/>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Gaza Strip</w:t>
            </w:r>
          </w:p>
        </w:tc>
        <w:tc>
          <w:tcPr>
            <w:tcW w:w="2337" w:type="dxa"/>
            <w:tcBorders>
              <w:top w:val="nil"/>
              <w:left w:val="single" w:sz="4" w:space="0" w:color="auto"/>
              <w:bottom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71.5</w:t>
            </w:r>
          </w:p>
        </w:tc>
        <w:tc>
          <w:tcPr>
            <w:tcW w:w="2338" w:type="dxa"/>
            <w:tcBorders>
              <w:top w:val="nil"/>
              <w:bottom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9.7</w:t>
            </w:r>
          </w:p>
        </w:tc>
        <w:tc>
          <w:tcPr>
            <w:tcW w:w="2338" w:type="dxa"/>
            <w:tcBorders>
              <w:top w:val="nil"/>
              <w:bottom w:val="single" w:sz="4" w:space="0" w:color="auto"/>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48.9</w:t>
            </w:r>
          </w:p>
        </w:tc>
      </w:tr>
      <w:tr w:rsidR="00727B83" w:rsidRPr="003122A3" w:rsidTr="00F87D13">
        <w:trPr>
          <w:jc w:val="center"/>
        </w:trPr>
        <w:tc>
          <w:tcPr>
            <w:cnfStyle w:val="001000000000"/>
            <w:tcW w:w="9350" w:type="dxa"/>
            <w:gridSpan w:val="4"/>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color w:val="auto"/>
                <w:sz w:val="20"/>
                <w:szCs w:val="20"/>
              </w:rPr>
            </w:pPr>
            <w:r w:rsidRPr="003122A3">
              <w:rPr>
                <w:rFonts w:ascii="Times New Roman" w:hAnsi="Times New Roman"/>
                <w:color w:val="auto"/>
                <w:sz w:val="20"/>
                <w:szCs w:val="20"/>
              </w:rPr>
              <w:t>Sex</w:t>
            </w:r>
          </w:p>
        </w:tc>
      </w:tr>
      <w:tr w:rsidR="00727B83" w:rsidRPr="003122A3" w:rsidTr="00F87D13">
        <w:trPr>
          <w:cnfStyle w:val="000000100000"/>
          <w:jc w:val="center"/>
        </w:trPr>
        <w:tc>
          <w:tcPr>
            <w:cnfStyle w:val="001000000000"/>
            <w:tcW w:w="2337" w:type="dxa"/>
            <w:tcBorders>
              <w:top w:val="single" w:sz="4" w:space="0" w:color="auto"/>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Male</w:t>
            </w:r>
          </w:p>
        </w:tc>
        <w:tc>
          <w:tcPr>
            <w:tcW w:w="2337" w:type="dxa"/>
            <w:tcBorders>
              <w:top w:val="single" w:sz="4" w:space="0" w:color="auto"/>
              <w:lef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77.4</w:t>
            </w:r>
          </w:p>
        </w:tc>
        <w:tc>
          <w:tcPr>
            <w:tcW w:w="2338" w:type="dxa"/>
            <w:tcBorders>
              <w:top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12.0</w:t>
            </w:r>
          </w:p>
        </w:tc>
        <w:tc>
          <w:tcPr>
            <w:tcW w:w="2338" w:type="dxa"/>
            <w:tcBorders>
              <w:top w:val="single" w:sz="4" w:space="0" w:color="auto"/>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54.2</w:t>
            </w:r>
          </w:p>
        </w:tc>
      </w:tr>
      <w:tr w:rsidR="00727B83" w:rsidRPr="003122A3" w:rsidTr="00F87D13">
        <w:trPr>
          <w:jc w:val="center"/>
        </w:trPr>
        <w:tc>
          <w:tcPr>
            <w:cnfStyle w:val="001000000000"/>
            <w:tcW w:w="2337" w:type="dxa"/>
            <w:tcBorders>
              <w:top w:val="nil"/>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Female</w:t>
            </w:r>
          </w:p>
        </w:tc>
        <w:tc>
          <w:tcPr>
            <w:tcW w:w="2337" w:type="dxa"/>
            <w:tcBorders>
              <w:left w:val="single" w:sz="4" w:space="0" w:color="auto"/>
              <w:bottom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77.6</w:t>
            </w:r>
          </w:p>
        </w:tc>
        <w:tc>
          <w:tcPr>
            <w:tcW w:w="2338" w:type="dxa"/>
            <w:tcBorders>
              <w:bottom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12.1</w:t>
            </w:r>
          </w:p>
        </w:tc>
        <w:tc>
          <w:tcPr>
            <w:tcW w:w="2338" w:type="dxa"/>
            <w:tcBorders>
              <w:bottom w:val="single" w:sz="4" w:space="0" w:color="auto"/>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54.6</w:t>
            </w:r>
          </w:p>
        </w:tc>
      </w:tr>
      <w:tr w:rsidR="00727B83" w:rsidRPr="003122A3" w:rsidTr="00F87D13">
        <w:trPr>
          <w:cnfStyle w:val="000000100000"/>
          <w:jc w:val="center"/>
        </w:trPr>
        <w:tc>
          <w:tcPr>
            <w:cnfStyle w:val="001000000000"/>
            <w:tcW w:w="9350" w:type="dxa"/>
            <w:gridSpan w:val="4"/>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color w:val="auto"/>
                <w:sz w:val="20"/>
                <w:szCs w:val="20"/>
              </w:rPr>
            </w:pPr>
            <w:r w:rsidRPr="003122A3">
              <w:rPr>
                <w:rFonts w:ascii="Times New Roman" w:hAnsi="Times New Roman"/>
                <w:color w:val="auto"/>
                <w:sz w:val="20"/>
                <w:szCs w:val="20"/>
              </w:rPr>
              <w:t>Type of Locality</w:t>
            </w:r>
          </w:p>
        </w:tc>
      </w:tr>
      <w:tr w:rsidR="00727B83" w:rsidRPr="003122A3" w:rsidTr="00F87D13">
        <w:trPr>
          <w:jc w:val="center"/>
        </w:trPr>
        <w:tc>
          <w:tcPr>
            <w:cnfStyle w:val="001000000000"/>
            <w:tcW w:w="2337" w:type="dxa"/>
            <w:tcBorders>
              <w:top w:val="single" w:sz="4" w:space="0" w:color="auto"/>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Urban</w:t>
            </w:r>
          </w:p>
        </w:tc>
        <w:tc>
          <w:tcPr>
            <w:tcW w:w="2337" w:type="dxa"/>
            <w:tcBorders>
              <w:top w:val="single" w:sz="4" w:space="0" w:color="auto"/>
              <w:lef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77.6</w:t>
            </w:r>
          </w:p>
        </w:tc>
        <w:tc>
          <w:tcPr>
            <w:tcW w:w="2338" w:type="dxa"/>
            <w:tcBorders>
              <w:top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11.5</w:t>
            </w:r>
          </w:p>
        </w:tc>
        <w:tc>
          <w:tcPr>
            <w:tcW w:w="2338" w:type="dxa"/>
            <w:tcBorders>
              <w:top w:val="single" w:sz="4" w:space="0" w:color="auto"/>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54.6</w:t>
            </w:r>
          </w:p>
        </w:tc>
      </w:tr>
      <w:tr w:rsidR="00727B83" w:rsidRPr="003122A3" w:rsidTr="00F579F1">
        <w:trPr>
          <w:cnfStyle w:val="000000100000"/>
          <w:jc w:val="center"/>
        </w:trPr>
        <w:tc>
          <w:tcPr>
            <w:cnfStyle w:val="001000000000"/>
            <w:tcW w:w="2337" w:type="dxa"/>
            <w:tcBorders>
              <w:top w:val="nil"/>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Rural</w:t>
            </w:r>
          </w:p>
        </w:tc>
        <w:tc>
          <w:tcPr>
            <w:tcW w:w="2337" w:type="dxa"/>
            <w:tcBorders>
              <w:lef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81.2</w:t>
            </w:r>
          </w:p>
        </w:tc>
        <w:tc>
          <w:tcPr>
            <w:tcW w:w="2338" w:type="dxa"/>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15.3</w:t>
            </w:r>
          </w:p>
        </w:tc>
        <w:tc>
          <w:tcPr>
            <w:tcW w:w="2338" w:type="dxa"/>
            <w:tcBorders>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59.0</w:t>
            </w:r>
          </w:p>
        </w:tc>
      </w:tr>
      <w:tr w:rsidR="00727B83" w:rsidRPr="003122A3" w:rsidTr="00F87D13">
        <w:trPr>
          <w:jc w:val="center"/>
        </w:trPr>
        <w:tc>
          <w:tcPr>
            <w:cnfStyle w:val="001000000000"/>
            <w:tcW w:w="2337" w:type="dxa"/>
            <w:tcBorders>
              <w:top w:val="nil"/>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Camp</w:t>
            </w:r>
          </w:p>
        </w:tc>
        <w:tc>
          <w:tcPr>
            <w:tcW w:w="2337" w:type="dxa"/>
            <w:tcBorders>
              <w:left w:val="single" w:sz="4" w:space="0" w:color="auto"/>
              <w:bottom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70.5</w:t>
            </w:r>
          </w:p>
        </w:tc>
        <w:tc>
          <w:tcPr>
            <w:tcW w:w="2338" w:type="dxa"/>
            <w:tcBorders>
              <w:bottom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11.4</w:t>
            </w:r>
          </w:p>
        </w:tc>
        <w:tc>
          <w:tcPr>
            <w:tcW w:w="2338" w:type="dxa"/>
            <w:tcBorders>
              <w:bottom w:val="single" w:sz="4" w:space="0" w:color="auto"/>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45.5</w:t>
            </w:r>
          </w:p>
        </w:tc>
      </w:tr>
      <w:tr w:rsidR="00727B83" w:rsidRPr="003122A3" w:rsidTr="00F87D13">
        <w:trPr>
          <w:cnfStyle w:val="000000100000"/>
          <w:jc w:val="center"/>
        </w:trPr>
        <w:tc>
          <w:tcPr>
            <w:cnfStyle w:val="001000000000"/>
            <w:tcW w:w="9350" w:type="dxa"/>
            <w:gridSpan w:val="4"/>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color w:val="auto"/>
                <w:sz w:val="20"/>
                <w:szCs w:val="20"/>
              </w:rPr>
            </w:pPr>
            <w:r w:rsidRPr="003122A3">
              <w:rPr>
                <w:rFonts w:ascii="Times New Roman" w:hAnsi="Times New Roman"/>
                <w:color w:val="auto"/>
                <w:sz w:val="20"/>
                <w:szCs w:val="20"/>
              </w:rPr>
              <w:t>Age in months</w:t>
            </w:r>
          </w:p>
        </w:tc>
      </w:tr>
      <w:tr w:rsidR="00727B83" w:rsidRPr="003122A3" w:rsidTr="00F87D13">
        <w:trPr>
          <w:jc w:val="center"/>
        </w:trPr>
        <w:tc>
          <w:tcPr>
            <w:cnfStyle w:val="001000000000"/>
            <w:tcW w:w="2337" w:type="dxa"/>
            <w:tcBorders>
              <w:top w:val="single" w:sz="4" w:space="0" w:color="auto"/>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36-47</w:t>
            </w:r>
          </w:p>
        </w:tc>
        <w:tc>
          <w:tcPr>
            <w:tcW w:w="2337" w:type="dxa"/>
            <w:tcBorders>
              <w:top w:val="single" w:sz="4" w:space="0" w:color="auto"/>
              <w:lef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76.3</w:t>
            </w:r>
          </w:p>
        </w:tc>
        <w:tc>
          <w:tcPr>
            <w:tcW w:w="2338" w:type="dxa"/>
            <w:tcBorders>
              <w:top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12.9</w:t>
            </w:r>
          </w:p>
        </w:tc>
        <w:tc>
          <w:tcPr>
            <w:tcW w:w="2338" w:type="dxa"/>
            <w:tcBorders>
              <w:top w:val="single" w:sz="4" w:space="0" w:color="auto"/>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55.5</w:t>
            </w:r>
          </w:p>
        </w:tc>
      </w:tr>
      <w:tr w:rsidR="00727B83" w:rsidRPr="003122A3" w:rsidTr="00F87D13">
        <w:trPr>
          <w:cnfStyle w:val="000000100000"/>
          <w:jc w:val="center"/>
        </w:trPr>
        <w:tc>
          <w:tcPr>
            <w:cnfStyle w:val="001000000000"/>
            <w:tcW w:w="2337" w:type="dxa"/>
            <w:tcBorders>
              <w:top w:val="nil"/>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48-59</w:t>
            </w:r>
          </w:p>
        </w:tc>
        <w:tc>
          <w:tcPr>
            <w:tcW w:w="2337" w:type="dxa"/>
            <w:tcBorders>
              <w:left w:val="single" w:sz="4" w:space="0" w:color="auto"/>
              <w:bottom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78.7</w:t>
            </w:r>
          </w:p>
        </w:tc>
        <w:tc>
          <w:tcPr>
            <w:tcW w:w="2338" w:type="dxa"/>
            <w:tcBorders>
              <w:bottom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11.1</w:t>
            </w:r>
          </w:p>
        </w:tc>
        <w:tc>
          <w:tcPr>
            <w:tcW w:w="2338" w:type="dxa"/>
            <w:tcBorders>
              <w:bottom w:val="single" w:sz="4" w:space="0" w:color="auto"/>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53.2</w:t>
            </w:r>
          </w:p>
        </w:tc>
      </w:tr>
      <w:tr w:rsidR="00727B83" w:rsidRPr="003122A3" w:rsidTr="00F87D13">
        <w:trPr>
          <w:jc w:val="center"/>
        </w:trPr>
        <w:tc>
          <w:tcPr>
            <w:cnfStyle w:val="001000000000"/>
            <w:tcW w:w="9350" w:type="dxa"/>
            <w:gridSpan w:val="4"/>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color w:val="auto"/>
                <w:sz w:val="20"/>
                <w:szCs w:val="20"/>
              </w:rPr>
            </w:pPr>
            <w:r w:rsidRPr="003122A3">
              <w:rPr>
                <w:rFonts w:ascii="Times New Roman" w:hAnsi="Times New Roman"/>
                <w:color w:val="auto"/>
                <w:sz w:val="20"/>
                <w:szCs w:val="20"/>
              </w:rPr>
              <w:t>Mother’s education</w:t>
            </w:r>
          </w:p>
        </w:tc>
      </w:tr>
      <w:tr w:rsidR="00727B83" w:rsidRPr="003122A3" w:rsidTr="00F87D13">
        <w:trPr>
          <w:cnfStyle w:val="000000100000"/>
          <w:jc w:val="center"/>
        </w:trPr>
        <w:tc>
          <w:tcPr>
            <w:cnfStyle w:val="001000000000"/>
            <w:tcW w:w="2337" w:type="dxa"/>
            <w:tcBorders>
              <w:top w:val="single" w:sz="4" w:space="0" w:color="auto"/>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None</w:t>
            </w:r>
          </w:p>
        </w:tc>
        <w:tc>
          <w:tcPr>
            <w:tcW w:w="2337" w:type="dxa"/>
            <w:tcBorders>
              <w:top w:val="single" w:sz="4" w:space="0" w:color="auto"/>
              <w:lef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68.2</w:t>
            </w:r>
          </w:p>
        </w:tc>
        <w:tc>
          <w:tcPr>
            <w:tcW w:w="2338" w:type="dxa"/>
            <w:tcBorders>
              <w:top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7.7</w:t>
            </w:r>
          </w:p>
        </w:tc>
        <w:tc>
          <w:tcPr>
            <w:tcW w:w="2338" w:type="dxa"/>
            <w:tcBorders>
              <w:top w:val="single" w:sz="4" w:space="0" w:color="auto"/>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39.5</w:t>
            </w:r>
          </w:p>
        </w:tc>
      </w:tr>
      <w:tr w:rsidR="00727B83" w:rsidRPr="003122A3" w:rsidTr="00F579F1">
        <w:trPr>
          <w:jc w:val="center"/>
        </w:trPr>
        <w:tc>
          <w:tcPr>
            <w:cnfStyle w:val="001000000000"/>
            <w:tcW w:w="2337" w:type="dxa"/>
            <w:tcBorders>
              <w:top w:val="nil"/>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Basic/ elementary</w:t>
            </w:r>
          </w:p>
        </w:tc>
        <w:tc>
          <w:tcPr>
            <w:tcW w:w="2337" w:type="dxa"/>
            <w:tcBorders>
              <w:lef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73.2</w:t>
            </w:r>
          </w:p>
        </w:tc>
        <w:tc>
          <w:tcPr>
            <w:tcW w:w="2338" w:type="dxa"/>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8.9</w:t>
            </w:r>
          </w:p>
        </w:tc>
        <w:tc>
          <w:tcPr>
            <w:tcW w:w="2338" w:type="dxa"/>
            <w:tcBorders>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44.6</w:t>
            </w:r>
          </w:p>
        </w:tc>
      </w:tr>
      <w:tr w:rsidR="00727B83" w:rsidRPr="003122A3" w:rsidTr="00F579F1">
        <w:trPr>
          <w:cnfStyle w:val="000000100000"/>
          <w:jc w:val="center"/>
        </w:trPr>
        <w:tc>
          <w:tcPr>
            <w:cnfStyle w:val="001000000000"/>
            <w:tcW w:w="2337" w:type="dxa"/>
            <w:tcBorders>
              <w:top w:val="nil"/>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 xml:space="preserve">Secondary </w:t>
            </w:r>
          </w:p>
        </w:tc>
        <w:tc>
          <w:tcPr>
            <w:tcW w:w="2337" w:type="dxa"/>
            <w:tcBorders>
              <w:lef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77.2</w:t>
            </w:r>
          </w:p>
        </w:tc>
        <w:tc>
          <w:tcPr>
            <w:tcW w:w="2338" w:type="dxa"/>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11.5</w:t>
            </w:r>
          </w:p>
        </w:tc>
        <w:tc>
          <w:tcPr>
            <w:tcW w:w="2338" w:type="dxa"/>
            <w:tcBorders>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55.5</w:t>
            </w:r>
          </w:p>
        </w:tc>
      </w:tr>
      <w:tr w:rsidR="00727B83" w:rsidRPr="003122A3" w:rsidTr="00F87D13">
        <w:trPr>
          <w:jc w:val="center"/>
        </w:trPr>
        <w:tc>
          <w:tcPr>
            <w:cnfStyle w:val="001000000000"/>
            <w:tcW w:w="2337" w:type="dxa"/>
            <w:tcBorders>
              <w:top w:val="nil"/>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Higher</w:t>
            </w:r>
          </w:p>
        </w:tc>
        <w:tc>
          <w:tcPr>
            <w:tcW w:w="2337" w:type="dxa"/>
            <w:tcBorders>
              <w:left w:val="single" w:sz="4" w:space="0" w:color="auto"/>
              <w:bottom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82.4</w:t>
            </w:r>
          </w:p>
        </w:tc>
        <w:tc>
          <w:tcPr>
            <w:tcW w:w="2338" w:type="dxa"/>
            <w:tcBorders>
              <w:bottom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16.0</w:t>
            </w:r>
          </w:p>
        </w:tc>
        <w:tc>
          <w:tcPr>
            <w:tcW w:w="2338" w:type="dxa"/>
            <w:tcBorders>
              <w:bottom w:val="single" w:sz="4" w:space="0" w:color="auto"/>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63.7</w:t>
            </w:r>
          </w:p>
        </w:tc>
      </w:tr>
      <w:tr w:rsidR="00727B83" w:rsidRPr="003122A3" w:rsidTr="00F87D13">
        <w:trPr>
          <w:cnfStyle w:val="000000100000"/>
          <w:jc w:val="center"/>
        </w:trPr>
        <w:tc>
          <w:tcPr>
            <w:cnfStyle w:val="001000000000"/>
            <w:tcW w:w="9350" w:type="dxa"/>
            <w:gridSpan w:val="4"/>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color w:val="auto"/>
                <w:sz w:val="20"/>
                <w:szCs w:val="20"/>
              </w:rPr>
            </w:pPr>
            <w:r w:rsidRPr="003122A3">
              <w:rPr>
                <w:rFonts w:ascii="Times New Roman" w:hAnsi="Times New Roman"/>
                <w:color w:val="auto"/>
                <w:sz w:val="20"/>
                <w:szCs w:val="20"/>
              </w:rPr>
              <w:t>Father’s education</w:t>
            </w:r>
          </w:p>
        </w:tc>
      </w:tr>
      <w:tr w:rsidR="00727B83" w:rsidRPr="003122A3" w:rsidTr="00F87D13">
        <w:trPr>
          <w:jc w:val="center"/>
        </w:trPr>
        <w:tc>
          <w:tcPr>
            <w:cnfStyle w:val="001000000000"/>
            <w:tcW w:w="2337" w:type="dxa"/>
            <w:tcBorders>
              <w:top w:val="single" w:sz="4" w:space="0" w:color="auto"/>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None</w:t>
            </w:r>
          </w:p>
        </w:tc>
        <w:tc>
          <w:tcPr>
            <w:tcW w:w="2337" w:type="dxa"/>
            <w:tcBorders>
              <w:top w:val="single" w:sz="4" w:space="0" w:color="auto"/>
              <w:lef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59.6</w:t>
            </w:r>
          </w:p>
        </w:tc>
        <w:tc>
          <w:tcPr>
            <w:tcW w:w="2338" w:type="dxa"/>
            <w:tcBorders>
              <w:top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5.6</w:t>
            </w:r>
          </w:p>
        </w:tc>
        <w:tc>
          <w:tcPr>
            <w:tcW w:w="2338" w:type="dxa"/>
            <w:tcBorders>
              <w:top w:val="single" w:sz="4" w:space="0" w:color="auto"/>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30.3</w:t>
            </w:r>
          </w:p>
        </w:tc>
      </w:tr>
      <w:tr w:rsidR="00727B83" w:rsidRPr="003122A3" w:rsidTr="00F579F1">
        <w:trPr>
          <w:cnfStyle w:val="000000100000"/>
          <w:jc w:val="center"/>
        </w:trPr>
        <w:tc>
          <w:tcPr>
            <w:cnfStyle w:val="001000000000"/>
            <w:tcW w:w="2337" w:type="dxa"/>
            <w:tcBorders>
              <w:top w:val="nil"/>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Basic/ elementary</w:t>
            </w:r>
          </w:p>
        </w:tc>
        <w:tc>
          <w:tcPr>
            <w:tcW w:w="2337" w:type="dxa"/>
            <w:tcBorders>
              <w:lef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74.9</w:t>
            </w:r>
          </w:p>
        </w:tc>
        <w:tc>
          <w:tcPr>
            <w:tcW w:w="2338" w:type="dxa"/>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9.0</w:t>
            </w:r>
          </w:p>
        </w:tc>
        <w:tc>
          <w:tcPr>
            <w:tcW w:w="2338" w:type="dxa"/>
            <w:tcBorders>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50.4</w:t>
            </w:r>
          </w:p>
        </w:tc>
      </w:tr>
      <w:tr w:rsidR="00727B83" w:rsidRPr="003122A3" w:rsidTr="00F579F1">
        <w:trPr>
          <w:jc w:val="center"/>
        </w:trPr>
        <w:tc>
          <w:tcPr>
            <w:cnfStyle w:val="001000000000"/>
            <w:tcW w:w="2337" w:type="dxa"/>
            <w:tcBorders>
              <w:top w:val="nil"/>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 xml:space="preserve">Secondary </w:t>
            </w:r>
          </w:p>
        </w:tc>
        <w:tc>
          <w:tcPr>
            <w:tcW w:w="2337" w:type="dxa"/>
            <w:tcBorders>
              <w:lef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77.8</w:t>
            </w:r>
          </w:p>
        </w:tc>
        <w:tc>
          <w:tcPr>
            <w:tcW w:w="2338" w:type="dxa"/>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12.4</w:t>
            </w:r>
          </w:p>
        </w:tc>
        <w:tc>
          <w:tcPr>
            <w:tcW w:w="2338" w:type="dxa"/>
            <w:tcBorders>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53.8</w:t>
            </w:r>
          </w:p>
        </w:tc>
      </w:tr>
      <w:tr w:rsidR="00727B83" w:rsidRPr="003122A3" w:rsidTr="00F87D13">
        <w:trPr>
          <w:cnfStyle w:val="000000100000"/>
          <w:jc w:val="center"/>
        </w:trPr>
        <w:tc>
          <w:tcPr>
            <w:cnfStyle w:val="001000000000"/>
            <w:tcW w:w="2337" w:type="dxa"/>
            <w:tcBorders>
              <w:top w:val="nil"/>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Higher</w:t>
            </w:r>
          </w:p>
        </w:tc>
        <w:tc>
          <w:tcPr>
            <w:tcW w:w="2337" w:type="dxa"/>
            <w:tcBorders>
              <w:left w:val="single" w:sz="4" w:space="0" w:color="auto"/>
              <w:bottom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82.2</w:t>
            </w:r>
          </w:p>
        </w:tc>
        <w:tc>
          <w:tcPr>
            <w:tcW w:w="2338" w:type="dxa"/>
            <w:tcBorders>
              <w:bottom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17.2</w:t>
            </w:r>
          </w:p>
        </w:tc>
        <w:tc>
          <w:tcPr>
            <w:tcW w:w="2338" w:type="dxa"/>
            <w:tcBorders>
              <w:bottom w:val="single" w:sz="4" w:space="0" w:color="auto"/>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61.8</w:t>
            </w:r>
          </w:p>
        </w:tc>
      </w:tr>
      <w:tr w:rsidR="00727B83" w:rsidRPr="003122A3" w:rsidTr="00F87D13">
        <w:trPr>
          <w:jc w:val="center"/>
        </w:trPr>
        <w:tc>
          <w:tcPr>
            <w:cnfStyle w:val="001000000000"/>
            <w:tcW w:w="9350" w:type="dxa"/>
            <w:gridSpan w:val="4"/>
            <w:tcBorders>
              <w:top w:val="single" w:sz="4" w:space="0" w:color="auto"/>
              <w:left w:val="single" w:sz="4" w:space="0" w:color="auto"/>
              <w:bottom w:val="single" w:sz="4" w:space="0" w:color="auto"/>
              <w:right w:val="single" w:sz="4" w:space="0" w:color="auto"/>
            </w:tcBorders>
          </w:tcPr>
          <w:p w:rsidR="00727B83" w:rsidRPr="003122A3" w:rsidRDefault="00727B83" w:rsidP="00A15D84">
            <w:pPr>
              <w:spacing w:line="276" w:lineRule="auto"/>
              <w:jc w:val="both"/>
              <w:rPr>
                <w:rFonts w:ascii="Times New Roman" w:hAnsi="Times New Roman"/>
                <w:color w:val="auto"/>
                <w:sz w:val="20"/>
                <w:szCs w:val="20"/>
              </w:rPr>
            </w:pPr>
            <w:r w:rsidRPr="003122A3">
              <w:rPr>
                <w:rFonts w:ascii="Times New Roman" w:hAnsi="Times New Roman"/>
                <w:color w:val="auto"/>
                <w:sz w:val="20"/>
                <w:szCs w:val="20"/>
              </w:rPr>
              <w:t>Wealth ind</w:t>
            </w:r>
            <w:r w:rsidR="00A15D84">
              <w:rPr>
                <w:rFonts w:ascii="Times New Roman" w:hAnsi="Times New Roman"/>
                <w:color w:val="auto"/>
                <w:sz w:val="20"/>
                <w:szCs w:val="20"/>
              </w:rPr>
              <w:t>ex</w:t>
            </w:r>
          </w:p>
        </w:tc>
      </w:tr>
      <w:tr w:rsidR="00727B83" w:rsidRPr="003122A3" w:rsidTr="00F87D13">
        <w:trPr>
          <w:cnfStyle w:val="000000100000"/>
          <w:jc w:val="center"/>
        </w:trPr>
        <w:tc>
          <w:tcPr>
            <w:cnfStyle w:val="001000000000"/>
            <w:tcW w:w="2337" w:type="dxa"/>
            <w:tcBorders>
              <w:top w:val="single" w:sz="4" w:space="0" w:color="auto"/>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Poorest</w:t>
            </w:r>
          </w:p>
        </w:tc>
        <w:tc>
          <w:tcPr>
            <w:tcW w:w="2337" w:type="dxa"/>
            <w:tcBorders>
              <w:top w:val="single" w:sz="4" w:space="0" w:color="auto"/>
              <w:lef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68.8</w:t>
            </w:r>
          </w:p>
        </w:tc>
        <w:tc>
          <w:tcPr>
            <w:tcW w:w="2338" w:type="dxa"/>
            <w:tcBorders>
              <w:top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8.1</w:t>
            </w:r>
          </w:p>
        </w:tc>
        <w:tc>
          <w:tcPr>
            <w:tcW w:w="2338" w:type="dxa"/>
            <w:tcBorders>
              <w:top w:val="single" w:sz="4" w:space="0" w:color="auto"/>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45.2</w:t>
            </w:r>
          </w:p>
        </w:tc>
      </w:tr>
      <w:tr w:rsidR="00727B83" w:rsidRPr="003122A3" w:rsidTr="00F579F1">
        <w:trPr>
          <w:jc w:val="center"/>
        </w:trPr>
        <w:tc>
          <w:tcPr>
            <w:cnfStyle w:val="001000000000"/>
            <w:tcW w:w="2337" w:type="dxa"/>
            <w:tcBorders>
              <w:top w:val="nil"/>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Second</w:t>
            </w:r>
          </w:p>
        </w:tc>
        <w:tc>
          <w:tcPr>
            <w:tcW w:w="2337" w:type="dxa"/>
            <w:tcBorders>
              <w:lef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74.6</w:t>
            </w:r>
          </w:p>
        </w:tc>
        <w:tc>
          <w:tcPr>
            <w:tcW w:w="2338" w:type="dxa"/>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10.0</w:t>
            </w:r>
          </w:p>
        </w:tc>
        <w:tc>
          <w:tcPr>
            <w:tcW w:w="2338" w:type="dxa"/>
            <w:tcBorders>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50.6</w:t>
            </w:r>
          </w:p>
        </w:tc>
      </w:tr>
      <w:tr w:rsidR="00727B83" w:rsidRPr="003122A3" w:rsidTr="00F579F1">
        <w:trPr>
          <w:cnfStyle w:val="000000100000"/>
          <w:jc w:val="center"/>
        </w:trPr>
        <w:tc>
          <w:tcPr>
            <w:cnfStyle w:val="001000000000"/>
            <w:tcW w:w="2337" w:type="dxa"/>
            <w:tcBorders>
              <w:top w:val="nil"/>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Middle</w:t>
            </w:r>
          </w:p>
        </w:tc>
        <w:tc>
          <w:tcPr>
            <w:tcW w:w="2337" w:type="dxa"/>
            <w:tcBorders>
              <w:lef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77.6</w:t>
            </w:r>
          </w:p>
        </w:tc>
        <w:tc>
          <w:tcPr>
            <w:tcW w:w="2338" w:type="dxa"/>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11.6</w:t>
            </w:r>
          </w:p>
        </w:tc>
        <w:tc>
          <w:tcPr>
            <w:tcW w:w="2338" w:type="dxa"/>
            <w:tcBorders>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53.4</w:t>
            </w:r>
          </w:p>
        </w:tc>
      </w:tr>
      <w:tr w:rsidR="00727B83" w:rsidRPr="003122A3" w:rsidTr="00F579F1">
        <w:trPr>
          <w:jc w:val="center"/>
        </w:trPr>
        <w:tc>
          <w:tcPr>
            <w:cnfStyle w:val="001000000000"/>
            <w:tcW w:w="2337" w:type="dxa"/>
            <w:tcBorders>
              <w:top w:val="nil"/>
              <w:left w:val="single" w:sz="4" w:space="0" w:color="auto"/>
              <w:bottom w:val="nil"/>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Fourth</w:t>
            </w:r>
          </w:p>
        </w:tc>
        <w:tc>
          <w:tcPr>
            <w:tcW w:w="2337" w:type="dxa"/>
            <w:tcBorders>
              <w:lef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83.4</w:t>
            </w:r>
          </w:p>
        </w:tc>
        <w:tc>
          <w:tcPr>
            <w:tcW w:w="2338" w:type="dxa"/>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16.4</w:t>
            </w:r>
          </w:p>
        </w:tc>
        <w:tc>
          <w:tcPr>
            <w:tcW w:w="2338" w:type="dxa"/>
            <w:tcBorders>
              <w:right w:val="single" w:sz="4" w:space="0" w:color="auto"/>
            </w:tcBorders>
          </w:tcPr>
          <w:p w:rsidR="00727B83" w:rsidRPr="003122A3" w:rsidRDefault="00727B83" w:rsidP="002B4903">
            <w:pPr>
              <w:spacing w:line="276" w:lineRule="auto"/>
              <w:jc w:val="center"/>
              <w:cnfStyle w:val="000000000000"/>
              <w:rPr>
                <w:rFonts w:ascii="Times New Roman" w:hAnsi="Times New Roman"/>
                <w:color w:val="auto"/>
                <w:sz w:val="20"/>
                <w:szCs w:val="20"/>
              </w:rPr>
            </w:pPr>
            <w:r w:rsidRPr="003122A3">
              <w:rPr>
                <w:rFonts w:ascii="Times New Roman" w:hAnsi="Times New Roman"/>
                <w:color w:val="auto"/>
                <w:sz w:val="20"/>
                <w:szCs w:val="20"/>
              </w:rPr>
              <w:t>60.0</w:t>
            </w:r>
          </w:p>
        </w:tc>
      </w:tr>
      <w:tr w:rsidR="00727B83" w:rsidRPr="003122A3" w:rsidTr="00F87D13">
        <w:trPr>
          <w:cnfStyle w:val="000000100000"/>
          <w:jc w:val="center"/>
        </w:trPr>
        <w:tc>
          <w:tcPr>
            <w:cnfStyle w:val="001000000000"/>
            <w:tcW w:w="2337" w:type="dxa"/>
            <w:tcBorders>
              <w:top w:val="nil"/>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b w:val="0"/>
                <w:bCs w:val="0"/>
                <w:color w:val="auto"/>
                <w:sz w:val="20"/>
                <w:szCs w:val="20"/>
              </w:rPr>
            </w:pPr>
            <w:r w:rsidRPr="003122A3">
              <w:rPr>
                <w:rFonts w:ascii="Times New Roman" w:hAnsi="Times New Roman"/>
                <w:b w:val="0"/>
                <w:bCs w:val="0"/>
                <w:color w:val="auto"/>
                <w:sz w:val="20"/>
                <w:szCs w:val="20"/>
              </w:rPr>
              <w:t xml:space="preserve">Richest </w:t>
            </w:r>
          </w:p>
        </w:tc>
        <w:tc>
          <w:tcPr>
            <w:tcW w:w="2337" w:type="dxa"/>
            <w:tcBorders>
              <w:left w:val="single" w:sz="4" w:space="0" w:color="auto"/>
              <w:bottom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87.5</w:t>
            </w:r>
          </w:p>
        </w:tc>
        <w:tc>
          <w:tcPr>
            <w:tcW w:w="2338" w:type="dxa"/>
            <w:tcBorders>
              <w:bottom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16.3</w:t>
            </w:r>
          </w:p>
        </w:tc>
        <w:tc>
          <w:tcPr>
            <w:tcW w:w="2338" w:type="dxa"/>
            <w:tcBorders>
              <w:bottom w:val="single" w:sz="4" w:space="0" w:color="auto"/>
              <w:right w:val="single" w:sz="4" w:space="0" w:color="auto"/>
            </w:tcBorders>
          </w:tcPr>
          <w:p w:rsidR="00727B83" w:rsidRPr="003122A3" w:rsidRDefault="00727B83" w:rsidP="002B4903">
            <w:pPr>
              <w:spacing w:line="276" w:lineRule="auto"/>
              <w:jc w:val="center"/>
              <w:cnfStyle w:val="000000100000"/>
              <w:rPr>
                <w:rFonts w:ascii="Times New Roman" w:hAnsi="Times New Roman"/>
                <w:color w:val="auto"/>
                <w:sz w:val="20"/>
                <w:szCs w:val="20"/>
              </w:rPr>
            </w:pPr>
            <w:r w:rsidRPr="003122A3">
              <w:rPr>
                <w:rFonts w:ascii="Times New Roman" w:hAnsi="Times New Roman"/>
                <w:color w:val="auto"/>
                <w:sz w:val="20"/>
                <w:szCs w:val="20"/>
              </w:rPr>
              <w:t>68.0</w:t>
            </w:r>
          </w:p>
        </w:tc>
      </w:tr>
      <w:tr w:rsidR="00727B83" w:rsidRPr="003122A3" w:rsidTr="00F87D13">
        <w:trPr>
          <w:trHeight w:val="315"/>
          <w:jc w:val="center"/>
        </w:trPr>
        <w:tc>
          <w:tcPr>
            <w:cnfStyle w:val="001000000000"/>
            <w:tcW w:w="2337" w:type="dxa"/>
            <w:tcBorders>
              <w:top w:val="single" w:sz="4" w:space="0" w:color="auto"/>
              <w:left w:val="single" w:sz="4" w:space="0" w:color="auto"/>
              <w:bottom w:val="single" w:sz="4" w:space="0" w:color="auto"/>
              <w:right w:val="single" w:sz="4" w:space="0" w:color="auto"/>
            </w:tcBorders>
          </w:tcPr>
          <w:p w:rsidR="00727B83" w:rsidRPr="003122A3" w:rsidRDefault="00727B83" w:rsidP="002B4903">
            <w:pPr>
              <w:spacing w:line="276" w:lineRule="auto"/>
              <w:jc w:val="both"/>
              <w:rPr>
                <w:rFonts w:ascii="Times New Roman" w:hAnsi="Times New Roman"/>
                <w:color w:val="auto"/>
                <w:sz w:val="20"/>
                <w:szCs w:val="20"/>
              </w:rPr>
            </w:pPr>
            <w:r w:rsidRPr="003122A3">
              <w:rPr>
                <w:rFonts w:ascii="Times New Roman" w:hAnsi="Times New Roman"/>
                <w:color w:val="auto"/>
                <w:sz w:val="20"/>
                <w:szCs w:val="20"/>
              </w:rPr>
              <w:t>Palestine</w:t>
            </w:r>
          </w:p>
        </w:tc>
        <w:tc>
          <w:tcPr>
            <w:tcW w:w="2337" w:type="dxa"/>
            <w:tcBorders>
              <w:top w:val="single" w:sz="4" w:space="0" w:color="auto"/>
              <w:left w:val="single" w:sz="4" w:space="0" w:color="auto"/>
              <w:bottom w:val="single" w:sz="4" w:space="0" w:color="auto"/>
            </w:tcBorders>
          </w:tcPr>
          <w:p w:rsidR="00727B83" w:rsidRPr="003122A3" w:rsidRDefault="00727B83" w:rsidP="002B4903">
            <w:pPr>
              <w:spacing w:line="276" w:lineRule="auto"/>
              <w:jc w:val="center"/>
              <w:cnfStyle w:val="000000000000"/>
              <w:rPr>
                <w:rFonts w:ascii="Times New Roman" w:hAnsi="Times New Roman"/>
                <w:b/>
                <w:bCs/>
                <w:color w:val="auto"/>
                <w:sz w:val="20"/>
                <w:szCs w:val="20"/>
              </w:rPr>
            </w:pPr>
            <w:r w:rsidRPr="003122A3">
              <w:rPr>
                <w:rFonts w:ascii="Times New Roman" w:hAnsi="Times New Roman"/>
                <w:b/>
                <w:bCs/>
                <w:color w:val="auto"/>
                <w:sz w:val="20"/>
                <w:szCs w:val="20"/>
              </w:rPr>
              <w:t>77.5</w:t>
            </w:r>
          </w:p>
        </w:tc>
        <w:tc>
          <w:tcPr>
            <w:tcW w:w="2338" w:type="dxa"/>
            <w:tcBorders>
              <w:top w:val="single" w:sz="4" w:space="0" w:color="auto"/>
              <w:bottom w:val="single" w:sz="4" w:space="0" w:color="auto"/>
            </w:tcBorders>
          </w:tcPr>
          <w:p w:rsidR="00727B83" w:rsidRPr="003122A3" w:rsidRDefault="00727B83" w:rsidP="002B4903">
            <w:pPr>
              <w:spacing w:line="276" w:lineRule="auto"/>
              <w:jc w:val="center"/>
              <w:cnfStyle w:val="000000000000"/>
              <w:rPr>
                <w:rFonts w:ascii="Times New Roman" w:hAnsi="Times New Roman"/>
                <w:b/>
                <w:bCs/>
                <w:color w:val="auto"/>
                <w:sz w:val="20"/>
                <w:szCs w:val="20"/>
              </w:rPr>
            </w:pPr>
            <w:r w:rsidRPr="003122A3">
              <w:rPr>
                <w:rFonts w:ascii="Times New Roman" w:hAnsi="Times New Roman"/>
                <w:b/>
                <w:bCs/>
                <w:color w:val="auto"/>
                <w:sz w:val="20"/>
                <w:szCs w:val="20"/>
              </w:rPr>
              <w:t>12.0</w:t>
            </w:r>
          </w:p>
        </w:tc>
        <w:tc>
          <w:tcPr>
            <w:tcW w:w="2338" w:type="dxa"/>
            <w:tcBorders>
              <w:top w:val="single" w:sz="4" w:space="0" w:color="auto"/>
              <w:bottom w:val="single" w:sz="4" w:space="0" w:color="auto"/>
              <w:right w:val="single" w:sz="4" w:space="0" w:color="auto"/>
            </w:tcBorders>
          </w:tcPr>
          <w:p w:rsidR="00727B83" w:rsidRPr="003122A3" w:rsidRDefault="00727B83" w:rsidP="002B4903">
            <w:pPr>
              <w:spacing w:line="276" w:lineRule="auto"/>
              <w:jc w:val="center"/>
              <w:cnfStyle w:val="000000000000"/>
              <w:rPr>
                <w:rFonts w:ascii="Times New Roman" w:hAnsi="Times New Roman"/>
                <w:b/>
                <w:bCs/>
                <w:color w:val="auto"/>
                <w:sz w:val="20"/>
                <w:szCs w:val="20"/>
              </w:rPr>
            </w:pPr>
            <w:r w:rsidRPr="003122A3">
              <w:rPr>
                <w:rFonts w:ascii="Times New Roman" w:hAnsi="Times New Roman"/>
                <w:b/>
                <w:bCs/>
                <w:color w:val="auto"/>
                <w:sz w:val="20"/>
                <w:szCs w:val="20"/>
              </w:rPr>
              <w:t>54.4</w:t>
            </w:r>
          </w:p>
        </w:tc>
      </w:tr>
    </w:tbl>
    <w:p w:rsidR="001039C1" w:rsidRPr="003122A3" w:rsidRDefault="001039C1" w:rsidP="008E657F">
      <w:pPr>
        <w:jc w:val="both"/>
        <w:rPr>
          <w:rFonts w:ascii="Times New Roman" w:hAnsi="Times New Roman" w:cs="Times New Roman"/>
          <w:sz w:val="2"/>
          <w:szCs w:val="2"/>
          <w:rtl/>
        </w:rPr>
      </w:pPr>
      <w:r w:rsidRPr="003122A3">
        <w:rPr>
          <w:rFonts w:ascii="Times New Roman" w:hAnsi="Times New Roman" w:cs="Times New Roman"/>
          <w:sz w:val="18"/>
          <w:szCs w:val="18"/>
          <w:rtl/>
        </w:rPr>
        <w:t xml:space="preserve">       </w:t>
      </w:r>
    </w:p>
    <w:p w:rsidR="00727B83" w:rsidRDefault="00727B83" w:rsidP="00E53648">
      <w:pPr>
        <w:spacing w:after="0" w:line="240" w:lineRule="auto"/>
        <w:jc w:val="both"/>
        <w:rPr>
          <w:rFonts w:ascii="Times New Roman" w:hAnsi="Times New Roman" w:cs="Times New Roman"/>
          <w:sz w:val="24"/>
          <w:szCs w:val="24"/>
          <w:lang w:val="en-GB" w:bidi="ar-JO"/>
        </w:rPr>
      </w:pPr>
      <w:r w:rsidRPr="003122A3">
        <w:rPr>
          <w:rFonts w:ascii="Times New Roman" w:hAnsi="Times New Roman" w:cs="Times New Roman"/>
          <w:sz w:val="24"/>
          <w:szCs w:val="24"/>
          <w:lang w:val="en-GB" w:bidi="ar-JO"/>
        </w:rPr>
        <w:t xml:space="preserve">Adults engaged with children in an average of 4.5 activities. Table (14) shows that the percentage of children who participated with an adult family member in four or more activities was 77.5%. The average engagement of biological fathers with their children was 1.6 activities, as the percentage of children engaged with their biological fathers in such activities was 12.0%. Average engagement of biological mothers with their children ws 3.6 with a percentage of 54.4% of children engaged with their mothers in such activities. </w:t>
      </w:r>
    </w:p>
    <w:p w:rsidR="00E53648" w:rsidRPr="003122A3" w:rsidRDefault="00E53648" w:rsidP="00E53648">
      <w:pPr>
        <w:spacing w:after="0" w:line="240" w:lineRule="auto"/>
        <w:jc w:val="both"/>
        <w:rPr>
          <w:rFonts w:ascii="Times New Roman" w:hAnsi="Times New Roman" w:cs="Times New Roman"/>
          <w:sz w:val="24"/>
          <w:szCs w:val="24"/>
          <w:rtl/>
          <w:lang w:val="en-GB" w:bidi="ar-JO"/>
        </w:rPr>
      </w:pPr>
    </w:p>
    <w:p w:rsidR="00727B83" w:rsidRPr="003122A3" w:rsidRDefault="00727B83" w:rsidP="00E53648">
      <w:pPr>
        <w:spacing w:after="0" w:line="240" w:lineRule="auto"/>
        <w:jc w:val="both"/>
        <w:rPr>
          <w:rFonts w:ascii="Times New Roman" w:hAnsi="Times New Roman" w:cs="Times New Roman"/>
          <w:sz w:val="24"/>
          <w:szCs w:val="24"/>
        </w:rPr>
      </w:pPr>
      <w:r w:rsidRPr="003122A3">
        <w:rPr>
          <w:rFonts w:ascii="Times New Roman" w:hAnsi="Times New Roman" w:cs="Times New Roman"/>
          <w:sz w:val="24"/>
          <w:szCs w:val="24"/>
        </w:rPr>
        <w:t>Children's exposure to printed material in their early years does not involve a high level of understanding, but it may give the child opportunities to watch others reading, such as watching older siblings doing their homework. Books are important for school performance in later life and exposure to books may positively impact IQ levels. Mothers caring for children under the age of five (who participated in this survey) were asked about the number of children’s books or comics available to their child, the number of household or items, that homemade or manufactured toys available in the home.</w:t>
      </w:r>
    </w:p>
    <w:p w:rsidR="00727B83" w:rsidRDefault="00727B83" w:rsidP="00E53648">
      <w:pPr>
        <w:spacing w:after="0" w:line="240" w:lineRule="auto"/>
        <w:jc w:val="both"/>
        <w:rPr>
          <w:rFonts w:ascii="Times New Roman" w:hAnsi="Times New Roman" w:cs="Times New Roman"/>
          <w:sz w:val="24"/>
          <w:szCs w:val="24"/>
          <w:lang w:val="en-GB" w:bidi="ar-JO"/>
        </w:rPr>
      </w:pPr>
      <w:r w:rsidRPr="003122A3">
        <w:rPr>
          <w:rFonts w:ascii="Times New Roman" w:hAnsi="Times New Roman" w:cs="Times New Roman"/>
          <w:sz w:val="24"/>
          <w:szCs w:val="24"/>
          <w:lang w:val="en-GB" w:bidi="ar-JO"/>
        </w:rPr>
        <w:t>Only 19.9% of children under 59 months lived in households that possessed at least three children’s books. The percentage of children with ten or more children books dropped to 4.1%.  While clear differences were not observed between the genders, children in richest families had greater access to children’s books than their peers in poor households. The percentage of children under five years of age who had three more more children books reached 28.9% while this figures drops to 5.4% for households with children aged 0-23 months.</w:t>
      </w:r>
    </w:p>
    <w:p w:rsidR="00E53648" w:rsidRPr="003122A3" w:rsidRDefault="00E53648" w:rsidP="00E53648">
      <w:pPr>
        <w:spacing w:after="0" w:line="240" w:lineRule="auto"/>
        <w:jc w:val="both"/>
        <w:rPr>
          <w:rFonts w:ascii="Times New Roman" w:hAnsi="Times New Roman" w:cs="Times New Roman"/>
          <w:sz w:val="24"/>
          <w:szCs w:val="24"/>
          <w:rtl/>
          <w:lang w:val="en-GB" w:bidi="ar-JO"/>
        </w:rPr>
      </w:pPr>
    </w:p>
    <w:p w:rsidR="00B570D1" w:rsidRPr="003122A3" w:rsidRDefault="00B570D1" w:rsidP="003D3155">
      <w:pPr>
        <w:pStyle w:val="Caption"/>
        <w:keepNext/>
        <w:bidi w:val="0"/>
        <w:rPr>
          <w:sz w:val="22"/>
          <w:szCs w:val="22"/>
        </w:rPr>
      </w:pPr>
      <w:bookmarkStart w:id="122" w:name="_Toc420269313"/>
      <w:r w:rsidRPr="003122A3">
        <w:rPr>
          <w:sz w:val="22"/>
          <w:szCs w:val="22"/>
        </w:rPr>
        <w:t>Table</w:t>
      </w:r>
      <w:r w:rsidR="00D51583"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15</w:t>
      </w:r>
      <w:r w:rsidR="008F57C8" w:rsidRPr="003122A3">
        <w:rPr>
          <w:sz w:val="22"/>
          <w:szCs w:val="22"/>
          <w:rtl/>
        </w:rPr>
        <w:fldChar w:fldCharType="end"/>
      </w:r>
      <w:r w:rsidRPr="003122A3">
        <w:rPr>
          <w:sz w:val="22"/>
          <w:szCs w:val="22"/>
        </w:rPr>
        <w:t>: Percentage of Children in Palestine Under the Age of 5 years with Children’s Books and Toys at Home, 2014</w:t>
      </w:r>
      <w:bookmarkEnd w:id="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54"/>
        <w:gridCol w:w="1419"/>
        <w:gridCol w:w="1320"/>
        <w:gridCol w:w="1358"/>
        <w:gridCol w:w="1178"/>
        <w:gridCol w:w="1493"/>
        <w:gridCol w:w="1133"/>
      </w:tblGrid>
      <w:tr w:rsidR="00727B83" w:rsidRPr="003122A3" w:rsidTr="00677FAD">
        <w:trPr>
          <w:trHeight w:hRule="exact" w:val="314"/>
          <w:jc w:val="center"/>
        </w:trPr>
        <w:tc>
          <w:tcPr>
            <w:tcW w:w="1909" w:type="dxa"/>
            <w:vMerge w:val="restart"/>
            <w:shd w:val="clear" w:color="auto" w:fill="BFBFBF"/>
            <w:vAlign w:val="center"/>
          </w:tcPr>
          <w:p w:rsidR="00727B83" w:rsidRPr="003122A3" w:rsidRDefault="00C20825" w:rsidP="00972C5A">
            <w:pPr>
              <w:jc w:val="center"/>
              <w:rPr>
                <w:rFonts w:ascii="Times New Roman" w:hAnsi="Times New Roman" w:cs="Times New Roman"/>
                <w:b/>
                <w:bCs/>
                <w:sz w:val="20"/>
                <w:szCs w:val="20"/>
              </w:rPr>
            </w:pPr>
            <w:r>
              <w:rPr>
                <w:rFonts w:ascii="Times New Roman" w:hAnsi="Times New Roman"/>
                <w:sz w:val="20"/>
                <w:szCs w:val="20"/>
              </w:rPr>
              <w:t>Background</w:t>
            </w:r>
            <w:r w:rsidRPr="003122A3">
              <w:rPr>
                <w:rFonts w:ascii="Times New Roman" w:hAnsi="Times New Roman"/>
                <w:sz w:val="20"/>
                <w:szCs w:val="20"/>
              </w:rPr>
              <w:t xml:space="preserve"> </w:t>
            </w:r>
            <w:r w:rsidR="00727B83" w:rsidRPr="003122A3">
              <w:rPr>
                <w:rFonts w:ascii="Times New Roman" w:hAnsi="Times New Roman" w:cs="Times New Roman"/>
                <w:sz w:val="20"/>
                <w:szCs w:val="20"/>
              </w:rPr>
              <w:t>characteristics</w:t>
            </w:r>
          </w:p>
        </w:tc>
        <w:tc>
          <w:tcPr>
            <w:tcW w:w="6613" w:type="dxa"/>
            <w:gridSpan w:val="5"/>
            <w:shd w:val="clear" w:color="auto" w:fill="BFBFBF"/>
            <w:vAlign w:val="center"/>
          </w:tcPr>
          <w:p w:rsidR="00727B83" w:rsidRPr="003122A3" w:rsidRDefault="00727B83" w:rsidP="00972C5A">
            <w:pPr>
              <w:jc w:val="center"/>
              <w:rPr>
                <w:rFonts w:ascii="Times New Roman" w:hAnsi="Times New Roman" w:cs="Times New Roman"/>
                <w:sz w:val="20"/>
                <w:szCs w:val="20"/>
              </w:rPr>
            </w:pPr>
            <w:r w:rsidRPr="003122A3">
              <w:rPr>
                <w:rFonts w:ascii="Times New Roman" w:hAnsi="Times New Roman" w:cs="Times New Roman"/>
                <w:b/>
                <w:bCs/>
                <w:sz w:val="20"/>
                <w:szCs w:val="20"/>
              </w:rPr>
              <w:t>Child plays with</w:t>
            </w:r>
            <w:r w:rsidRPr="003122A3">
              <w:rPr>
                <w:rFonts w:ascii="Times New Roman" w:hAnsi="Times New Roman" w:cs="Times New Roman"/>
                <w:b/>
                <w:bCs/>
                <w:sz w:val="20"/>
                <w:szCs w:val="20"/>
                <w:rtl/>
              </w:rPr>
              <w:t>:</w:t>
            </w:r>
          </w:p>
        </w:tc>
        <w:tc>
          <w:tcPr>
            <w:tcW w:w="1107" w:type="dxa"/>
            <w:vMerge w:val="restart"/>
            <w:shd w:val="clear" w:color="auto" w:fill="BFBFBF"/>
            <w:vAlign w:val="center"/>
          </w:tcPr>
          <w:p w:rsidR="00727B83" w:rsidRPr="003122A3" w:rsidRDefault="00727B83" w:rsidP="00972C5A">
            <w:pPr>
              <w:jc w:val="center"/>
              <w:rPr>
                <w:rFonts w:ascii="Times New Roman" w:hAnsi="Times New Roman" w:cs="Times New Roman"/>
                <w:b/>
                <w:bCs/>
                <w:sz w:val="20"/>
                <w:szCs w:val="20"/>
              </w:rPr>
            </w:pPr>
            <w:r w:rsidRPr="003122A3">
              <w:rPr>
                <w:rFonts w:ascii="Times New Roman" w:hAnsi="Times New Roman" w:cs="Times New Roman"/>
                <w:sz w:val="20"/>
                <w:szCs w:val="20"/>
              </w:rPr>
              <w:t>Two toys or more</w:t>
            </w:r>
          </w:p>
        </w:tc>
      </w:tr>
      <w:tr w:rsidR="00727B83" w:rsidRPr="003122A3" w:rsidTr="003D3155">
        <w:trPr>
          <w:trHeight w:hRule="exact" w:val="798"/>
          <w:jc w:val="center"/>
        </w:trPr>
        <w:tc>
          <w:tcPr>
            <w:tcW w:w="1909" w:type="dxa"/>
            <w:vMerge/>
            <w:vAlign w:val="center"/>
          </w:tcPr>
          <w:p w:rsidR="00727B83" w:rsidRPr="003122A3" w:rsidRDefault="00727B83" w:rsidP="008E657F">
            <w:pPr>
              <w:jc w:val="both"/>
              <w:rPr>
                <w:rFonts w:ascii="Times New Roman" w:hAnsi="Times New Roman" w:cs="Times New Roman"/>
                <w:b/>
                <w:bCs/>
                <w:sz w:val="20"/>
                <w:szCs w:val="20"/>
              </w:rPr>
            </w:pPr>
          </w:p>
        </w:tc>
        <w:tc>
          <w:tcPr>
            <w:tcW w:w="1386" w:type="dxa"/>
            <w:shd w:val="clear" w:color="auto" w:fill="BFBFBF"/>
            <w:vAlign w:val="center"/>
          </w:tcPr>
          <w:p w:rsidR="00727B83" w:rsidRPr="003122A3" w:rsidRDefault="00727B83" w:rsidP="00972C5A">
            <w:pPr>
              <w:jc w:val="center"/>
              <w:rPr>
                <w:rFonts w:ascii="Times New Roman" w:hAnsi="Times New Roman" w:cs="Times New Roman"/>
                <w:b/>
                <w:bCs/>
                <w:sz w:val="20"/>
                <w:szCs w:val="20"/>
              </w:rPr>
            </w:pPr>
            <w:r w:rsidRPr="003122A3">
              <w:rPr>
                <w:rFonts w:ascii="Times New Roman" w:hAnsi="Times New Roman" w:cs="Times New Roman"/>
                <w:sz w:val="20"/>
                <w:szCs w:val="20"/>
              </w:rPr>
              <w:t>Three children’s books or more</w:t>
            </w:r>
          </w:p>
        </w:tc>
        <w:tc>
          <w:tcPr>
            <w:tcW w:w="1290" w:type="dxa"/>
            <w:shd w:val="clear" w:color="auto" w:fill="BFBFBF"/>
            <w:vAlign w:val="center"/>
          </w:tcPr>
          <w:p w:rsidR="00727B83" w:rsidRPr="003122A3" w:rsidRDefault="00727B83" w:rsidP="00972C5A">
            <w:pPr>
              <w:jc w:val="center"/>
              <w:rPr>
                <w:rFonts w:ascii="Times New Roman" w:hAnsi="Times New Roman" w:cs="Times New Roman"/>
                <w:b/>
                <w:bCs/>
                <w:sz w:val="20"/>
                <w:szCs w:val="20"/>
              </w:rPr>
            </w:pPr>
            <w:r w:rsidRPr="003122A3">
              <w:rPr>
                <w:rFonts w:ascii="Times New Roman" w:hAnsi="Times New Roman" w:cs="Times New Roman"/>
                <w:sz w:val="20"/>
                <w:szCs w:val="20"/>
              </w:rPr>
              <w:t>10 children’s books or more</w:t>
            </w:r>
          </w:p>
        </w:tc>
        <w:tc>
          <w:tcPr>
            <w:tcW w:w="1327" w:type="dxa"/>
            <w:shd w:val="clear" w:color="auto" w:fill="BFBFBF"/>
            <w:vAlign w:val="center"/>
          </w:tcPr>
          <w:p w:rsidR="00727B83" w:rsidRPr="003122A3" w:rsidRDefault="00727B83" w:rsidP="00972C5A">
            <w:pPr>
              <w:jc w:val="center"/>
              <w:rPr>
                <w:rFonts w:ascii="Times New Roman" w:hAnsi="Times New Roman" w:cs="Times New Roman"/>
                <w:b/>
                <w:bCs/>
                <w:sz w:val="20"/>
                <w:szCs w:val="20"/>
              </w:rPr>
            </w:pPr>
            <w:r w:rsidRPr="003122A3">
              <w:rPr>
                <w:rFonts w:ascii="Times New Roman" w:hAnsi="Times New Roman" w:cs="Times New Roman"/>
                <w:sz w:val="20"/>
                <w:szCs w:val="20"/>
              </w:rPr>
              <w:t>Homemade toys</w:t>
            </w:r>
          </w:p>
        </w:tc>
        <w:tc>
          <w:tcPr>
            <w:tcW w:w="1151" w:type="dxa"/>
            <w:shd w:val="clear" w:color="auto" w:fill="BFBFBF"/>
            <w:vAlign w:val="center"/>
          </w:tcPr>
          <w:p w:rsidR="00727B83" w:rsidRPr="003122A3" w:rsidRDefault="00727B83" w:rsidP="00972C5A">
            <w:pPr>
              <w:jc w:val="center"/>
              <w:rPr>
                <w:rFonts w:ascii="Times New Roman" w:hAnsi="Times New Roman" w:cs="Times New Roman"/>
                <w:b/>
                <w:bCs/>
                <w:sz w:val="20"/>
                <w:szCs w:val="20"/>
              </w:rPr>
            </w:pPr>
            <w:r w:rsidRPr="003122A3">
              <w:rPr>
                <w:rFonts w:ascii="Times New Roman" w:hAnsi="Times New Roman" w:cs="Times New Roman"/>
                <w:sz w:val="20"/>
                <w:szCs w:val="20"/>
              </w:rPr>
              <w:t>Bought toys from shops</w:t>
            </w:r>
          </w:p>
        </w:tc>
        <w:tc>
          <w:tcPr>
            <w:tcW w:w="1459" w:type="dxa"/>
            <w:shd w:val="clear" w:color="auto" w:fill="BFBFBF"/>
          </w:tcPr>
          <w:p w:rsidR="00727B83" w:rsidRPr="003122A3" w:rsidRDefault="00727B83" w:rsidP="00972C5A">
            <w:pPr>
              <w:jc w:val="center"/>
              <w:rPr>
                <w:rFonts w:ascii="Times New Roman" w:hAnsi="Times New Roman" w:cs="Times New Roman"/>
                <w:color w:val="000000"/>
                <w:sz w:val="20"/>
                <w:szCs w:val="20"/>
              </w:rPr>
            </w:pPr>
            <w:r w:rsidRPr="003122A3">
              <w:rPr>
                <w:rFonts w:ascii="Times New Roman" w:hAnsi="Times New Roman" w:cs="Times New Roman"/>
                <w:color w:val="000000"/>
                <w:sz w:val="20"/>
                <w:szCs w:val="20"/>
              </w:rPr>
              <w:t>Household objects/objects found outside</w:t>
            </w:r>
          </w:p>
          <w:p w:rsidR="00727B83" w:rsidRPr="003122A3" w:rsidRDefault="00727B83" w:rsidP="00972C5A">
            <w:pPr>
              <w:jc w:val="center"/>
              <w:rPr>
                <w:rFonts w:ascii="Times New Roman" w:hAnsi="Times New Roman" w:cs="Times New Roman"/>
                <w:sz w:val="20"/>
                <w:szCs w:val="20"/>
              </w:rPr>
            </w:pPr>
          </w:p>
        </w:tc>
        <w:tc>
          <w:tcPr>
            <w:tcW w:w="1107" w:type="dxa"/>
            <w:vMerge/>
            <w:shd w:val="clear" w:color="auto" w:fill="BFBFBF"/>
            <w:vAlign w:val="center"/>
          </w:tcPr>
          <w:p w:rsidR="00727B83" w:rsidRPr="003122A3" w:rsidRDefault="00727B83" w:rsidP="00972C5A">
            <w:pPr>
              <w:jc w:val="center"/>
              <w:rPr>
                <w:rFonts w:ascii="Times New Roman" w:hAnsi="Times New Roman" w:cs="Times New Roman"/>
                <w:sz w:val="20"/>
                <w:szCs w:val="20"/>
              </w:rPr>
            </w:pPr>
          </w:p>
        </w:tc>
      </w:tr>
      <w:tr w:rsidR="00727B83" w:rsidRPr="003122A3" w:rsidTr="00677FAD">
        <w:trPr>
          <w:trHeight w:hRule="exact" w:val="331"/>
          <w:jc w:val="center"/>
        </w:trPr>
        <w:tc>
          <w:tcPr>
            <w:tcW w:w="9629" w:type="dxa"/>
            <w:gridSpan w:val="7"/>
            <w:shd w:val="clear" w:color="auto" w:fill="F2F2F2"/>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b/>
                <w:bCs/>
                <w:sz w:val="20"/>
                <w:szCs w:val="20"/>
              </w:rPr>
              <w:t>Region</w:t>
            </w:r>
          </w:p>
        </w:tc>
      </w:tr>
      <w:tr w:rsidR="00727B83" w:rsidRPr="003122A3" w:rsidTr="00677FAD">
        <w:trPr>
          <w:trHeight w:hRule="exact" w:val="331"/>
          <w:jc w:val="center"/>
        </w:trPr>
        <w:tc>
          <w:tcPr>
            <w:tcW w:w="1909" w:type="dxa"/>
            <w:tcBorders>
              <w:bottom w:val="nil"/>
            </w:tcBorders>
            <w:vAlign w:val="center"/>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West Bank</w:t>
            </w:r>
          </w:p>
        </w:tc>
        <w:tc>
          <w:tcPr>
            <w:tcW w:w="1386" w:type="dxa"/>
            <w:tcBorders>
              <w:top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20.2</w:t>
            </w:r>
          </w:p>
        </w:tc>
        <w:tc>
          <w:tcPr>
            <w:tcW w:w="1290" w:type="dxa"/>
            <w:tcBorders>
              <w:top w:val="nil"/>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3.8</w:t>
            </w:r>
          </w:p>
        </w:tc>
        <w:tc>
          <w:tcPr>
            <w:tcW w:w="1327" w:type="dxa"/>
            <w:tcBorders>
              <w:top w:val="nil"/>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16.1</w:t>
            </w:r>
          </w:p>
        </w:tc>
        <w:tc>
          <w:tcPr>
            <w:tcW w:w="1151" w:type="dxa"/>
            <w:tcBorders>
              <w:top w:val="nil"/>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88.8</w:t>
            </w:r>
          </w:p>
        </w:tc>
        <w:tc>
          <w:tcPr>
            <w:tcW w:w="1459" w:type="dxa"/>
            <w:tcBorders>
              <w:top w:val="nil"/>
              <w:left w:val="nil"/>
              <w:bottom w:val="nil"/>
              <w:right w:val="nil"/>
            </w:tcBorders>
            <w:vAlign w:val="center"/>
          </w:tcPr>
          <w:p w:rsidR="00727B83" w:rsidRPr="003122A3" w:rsidRDefault="00727B83" w:rsidP="008E657F">
            <w:pPr>
              <w:jc w:val="both"/>
              <w:rPr>
                <w:rFonts w:ascii="Times New Roman" w:hAnsi="Times New Roman" w:cs="Times New Roman"/>
                <w:sz w:val="20"/>
                <w:szCs w:val="20"/>
                <w:rtl/>
              </w:rPr>
            </w:pPr>
            <w:r w:rsidRPr="003122A3">
              <w:rPr>
                <w:rFonts w:ascii="Times New Roman" w:hAnsi="Times New Roman" w:cs="Times New Roman"/>
                <w:sz w:val="20"/>
                <w:szCs w:val="20"/>
                <w:lang w:bidi="ar-LB"/>
              </w:rPr>
              <w:t>70.8</w:t>
            </w:r>
          </w:p>
        </w:tc>
        <w:tc>
          <w:tcPr>
            <w:tcW w:w="1107" w:type="dxa"/>
            <w:tcBorders>
              <w:top w:val="nil"/>
              <w:left w:val="nil"/>
              <w:bottom w:val="nil"/>
            </w:tcBorders>
            <w:vAlign w:val="center"/>
          </w:tcPr>
          <w:p w:rsidR="00727B83" w:rsidRPr="003122A3" w:rsidRDefault="00727B83" w:rsidP="008E657F">
            <w:pPr>
              <w:jc w:val="both"/>
              <w:rPr>
                <w:rFonts w:ascii="Times New Roman" w:hAnsi="Times New Roman" w:cs="Times New Roman"/>
                <w:sz w:val="20"/>
                <w:szCs w:val="20"/>
                <w:rtl/>
              </w:rPr>
            </w:pPr>
            <w:r w:rsidRPr="003122A3">
              <w:rPr>
                <w:rFonts w:ascii="Times New Roman" w:hAnsi="Times New Roman" w:cs="Times New Roman"/>
                <w:sz w:val="20"/>
                <w:szCs w:val="20"/>
                <w:lang w:bidi="ar-LB"/>
              </w:rPr>
              <w:t>71.9</w:t>
            </w:r>
          </w:p>
        </w:tc>
      </w:tr>
      <w:tr w:rsidR="00727B83" w:rsidRPr="003122A3" w:rsidTr="00677FAD">
        <w:trPr>
          <w:trHeight w:hRule="exact" w:val="331"/>
          <w:jc w:val="center"/>
        </w:trPr>
        <w:tc>
          <w:tcPr>
            <w:tcW w:w="1909" w:type="dxa"/>
            <w:tcBorders>
              <w:top w:val="nil"/>
            </w:tcBorders>
            <w:vAlign w:val="center"/>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Gaza Strip</w:t>
            </w:r>
          </w:p>
        </w:tc>
        <w:tc>
          <w:tcPr>
            <w:tcW w:w="1386" w:type="dxa"/>
            <w:tcBorders>
              <w:top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19.5</w:t>
            </w:r>
          </w:p>
        </w:tc>
        <w:tc>
          <w:tcPr>
            <w:tcW w:w="1290" w:type="dxa"/>
            <w:tcBorders>
              <w:top w:val="nil"/>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4.3</w:t>
            </w:r>
          </w:p>
        </w:tc>
        <w:tc>
          <w:tcPr>
            <w:tcW w:w="1327" w:type="dxa"/>
            <w:tcBorders>
              <w:top w:val="nil"/>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17.0</w:t>
            </w:r>
          </w:p>
        </w:tc>
        <w:tc>
          <w:tcPr>
            <w:tcW w:w="1151" w:type="dxa"/>
            <w:tcBorders>
              <w:top w:val="nil"/>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82.8</w:t>
            </w:r>
          </w:p>
        </w:tc>
        <w:tc>
          <w:tcPr>
            <w:tcW w:w="1459" w:type="dxa"/>
            <w:tcBorders>
              <w:top w:val="nil"/>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70.3</w:t>
            </w:r>
          </w:p>
        </w:tc>
        <w:tc>
          <w:tcPr>
            <w:tcW w:w="1107" w:type="dxa"/>
            <w:tcBorders>
              <w:top w:val="nil"/>
              <w:left w:val="nil"/>
              <w:bottom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65.9</w:t>
            </w:r>
          </w:p>
        </w:tc>
      </w:tr>
      <w:tr w:rsidR="00727B83" w:rsidRPr="003122A3" w:rsidTr="00677FAD">
        <w:trPr>
          <w:trHeight w:hRule="exact" w:val="331"/>
          <w:jc w:val="center"/>
        </w:trPr>
        <w:tc>
          <w:tcPr>
            <w:tcW w:w="9629" w:type="dxa"/>
            <w:gridSpan w:val="7"/>
            <w:shd w:val="clear" w:color="auto" w:fill="F2F2F2"/>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b/>
                <w:bCs/>
                <w:sz w:val="20"/>
                <w:szCs w:val="20"/>
              </w:rPr>
              <w:t xml:space="preserve">Sex </w:t>
            </w:r>
          </w:p>
        </w:tc>
      </w:tr>
      <w:tr w:rsidR="00727B83" w:rsidRPr="003122A3" w:rsidTr="00677FAD">
        <w:trPr>
          <w:trHeight w:hRule="exact" w:val="331"/>
          <w:jc w:val="center"/>
        </w:trPr>
        <w:tc>
          <w:tcPr>
            <w:tcW w:w="1909" w:type="dxa"/>
            <w:tcBorders>
              <w:bottom w:val="nil"/>
            </w:tcBorders>
            <w:vAlign w:val="center"/>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Male</w:t>
            </w:r>
          </w:p>
        </w:tc>
        <w:tc>
          <w:tcPr>
            <w:tcW w:w="1386" w:type="dxa"/>
            <w:tcBorders>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19.0</w:t>
            </w:r>
          </w:p>
        </w:tc>
        <w:tc>
          <w:tcPr>
            <w:tcW w:w="1290" w:type="dxa"/>
            <w:tcBorders>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3.3</w:t>
            </w:r>
          </w:p>
        </w:tc>
        <w:tc>
          <w:tcPr>
            <w:tcW w:w="1327" w:type="dxa"/>
            <w:tcBorders>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16.7</w:t>
            </w:r>
          </w:p>
        </w:tc>
        <w:tc>
          <w:tcPr>
            <w:tcW w:w="1151" w:type="dxa"/>
            <w:tcBorders>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85.3</w:t>
            </w:r>
          </w:p>
        </w:tc>
        <w:tc>
          <w:tcPr>
            <w:tcW w:w="1459" w:type="dxa"/>
            <w:tcBorders>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70.7</w:t>
            </w:r>
          </w:p>
        </w:tc>
        <w:tc>
          <w:tcPr>
            <w:tcW w:w="1107" w:type="dxa"/>
            <w:tcBorders>
              <w:left w:val="nil"/>
              <w:bottom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68.9</w:t>
            </w:r>
          </w:p>
        </w:tc>
      </w:tr>
      <w:tr w:rsidR="00727B83" w:rsidRPr="003122A3" w:rsidTr="00677FAD">
        <w:trPr>
          <w:trHeight w:hRule="exact" w:val="331"/>
          <w:jc w:val="center"/>
        </w:trPr>
        <w:tc>
          <w:tcPr>
            <w:tcW w:w="1909" w:type="dxa"/>
            <w:tcBorders>
              <w:top w:val="nil"/>
            </w:tcBorders>
            <w:vAlign w:val="center"/>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Female</w:t>
            </w:r>
          </w:p>
        </w:tc>
        <w:tc>
          <w:tcPr>
            <w:tcW w:w="1386" w:type="dxa"/>
            <w:tcBorders>
              <w:top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20.8</w:t>
            </w:r>
          </w:p>
        </w:tc>
        <w:tc>
          <w:tcPr>
            <w:tcW w:w="1290" w:type="dxa"/>
            <w:tcBorders>
              <w:top w:val="nil"/>
              <w:left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4.8</w:t>
            </w:r>
          </w:p>
        </w:tc>
        <w:tc>
          <w:tcPr>
            <w:tcW w:w="1327" w:type="dxa"/>
            <w:tcBorders>
              <w:top w:val="nil"/>
              <w:left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16.3</w:t>
            </w:r>
          </w:p>
        </w:tc>
        <w:tc>
          <w:tcPr>
            <w:tcW w:w="1151" w:type="dxa"/>
            <w:tcBorders>
              <w:top w:val="nil"/>
              <w:left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86.8</w:t>
            </w:r>
          </w:p>
        </w:tc>
        <w:tc>
          <w:tcPr>
            <w:tcW w:w="1459" w:type="dxa"/>
            <w:tcBorders>
              <w:top w:val="nil"/>
              <w:left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70.4</w:t>
            </w:r>
          </w:p>
        </w:tc>
        <w:tc>
          <w:tcPr>
            <w:tcW w:w="1107" w:type="dxa"/>
            <w:tcBorders>
              <w:top w:val="nil"/>
              <w:lef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69.3</w:t>
            </w:r>
          </w:p>
        </w:tc>
      </w:tr>
      <w:tr w:rsidR="00727B83" w:rsidRPr="003122A3" w:rsidTr="00677FAD">
        <w:trPr>
          <w:trHeight w:hRule="exact" w:val="331"/>
          <w:jc w:val="center"/>
        </w:trPr>
        <w:tc>
          <w:tcPr>
            <w:tcW w:w="9629" w:type="dxa"/>
            <w:gridSpan w:val="7"/>
            <w:shd w:val="clear" w:color="auto" w:fill="F2F2F2"/>
          </w:tcPr>
          <w:p w:rsidR="00727B83" w:rsidRPr="003122A3" w:rsidRDefault="00727B83" w:rsidP="008E657F">
            <w:pPr>
              <w:jc w:val="both"/>
              <w:rPr>
                <w:rFonts w:ascii="Times New Roman" w:hAnsi="Times New Roman" w:cs="Times New Roman"/>
                <w:b/>
                <w:bCs/>
                <w:sz w:val="20"/>
                <w:szCs w:val="20"/>
              </w:rPr>
            </w:pPr>
            <w:r w:rsidRPr="003122A3">
              <w:rPr>
                <w:rFonts w:ascii="Times New Roman" w:hAnsi="Times New Roman" w:cs="Times New Roman"/>
                <w:b/>
                <w:bCs/>
                <w:sz w:val="20"/>
                <w:szCs w:val="20"/>
              </w:rPr>
              <w:t>Type of Locality</w:t>
            </w:r>
          </w:p>
        </w:tc>
      </w:tr>
      <w:tr w:rsidR="00727B83" w:rsidRPr="003122A3" w:rsidTr="00677FAD">
        <w:trPr>
          <w:trHeight w:hRule="exact" w:val="331"/>
          <w:jc w:val="center"/>
        </w:trPr>
        <w:tc>
          <w:tcPr>
            <w:tcW w:w="1909" w:type="dxa"/>
            <w:tcBorders>
              <w:bottom w:val="nil"/>
            </w:tcBorders>
            <w:vAlign w:val="center"/>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 xml:space="preserve">Urban </w:t>
            </w:r>
          </w:p>
        </w:tc>
        <w:tc>
          <w:tcPr>
            <w:tcW w:w="1386" w:type="dxa"/>
            <w:tcBorders>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19.7</w:t>
            </w:r>
          </w:p>
        </w:tc>
        <w:tc>
          <w:tcPr>
            <w:tcW w:w="1290"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4.1</w:t>
            </w:r>
          </w:p>
        </w:tc>
        <w:tc>
          <w:tcPr>
            <w:tcW w:w="1327"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16.3</w:t>
            </w:r>
          </w:p>
        </w:tc>
        <w:tc>
          <w:tcPr>
            <w:tcW w:w="1151"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85.6</w:t>
            </w:r>
          </w:p>
        </w:tc>
        <w:tc>
          <w:tcPr>
            <w:tcW w:w="1459"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70.2</w:t>
            </w:r>
          </w:p>
        </w:tc>
        <w:tc>
          <w:tcPr>
            <w:tcW w:w="1107" w:type="dxa"/>
            <w:tcBorders>
              <w:left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68.6</w:t>
            </w:r>
          </w:p>
        </w:tc>
      </w:tr>
      <w:tr w:rsidR="00727B83" w:rsidRPr="003122A3" w:rsidTr="00677FAD">
        <w:trPr>
          <w:trHeight w:hRule="exact" w:val="331"/>
          <w:jc w:val="center"/>
        </w:trPr>
        <w:tc>
          <w:tcPr>
            <w:tcW w:w="1909" w:type="dxa"/>
            <w:tcBorders>
              <w:top w:val="nil"/>
              <w:bottom w:val="nil"/>
            </w:tcBorders>
            <w:vAlign w:val="center"/>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Rural</w:t>
            </w:r>
          </w:p>
        </w:tc>
        <w:tc>
          <w:tcPr>
            <w:tcW w:w="1386" w:type="dxa"/>
            <w:tcBorders>
              <w:top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21.1</w:t>
            </w:r>
          </w:p>
        </w:tc>
        <w:tc>
          <w:tcPr>
            <w:tcW w:w="1290"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2.8</w:t>
            </w:r>
          </w:p>
        </w:tc>
        <w:tc>
          <w:tcPr>
            <w:tcW w:w="1327"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18.0</w:t>
            </w:r>
          </w:p>
        </w:tc>
        <w:tc>
          <w:tcPr>
            <w:tcW w:w="1151"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88.5</w:t>
            </w:r>
          </w:p>
        </w:tc>
        <w:tc>
          <w:tcPr>
            <w:tcW w:w="1459"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74.6</w:t>
            </w:r>
          </w:p>
        </w:tc>
        <w:tc>
          <w:tcPr>
            <w:tcW w:w="1107" w:type="dxa"/>
            <w:tcBorders>
              <w:top w:val="nil"/>
              <w:left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74.6</w:t>
            </w:r>
          </w:p>
        </w:tc>
      </w:tr>
      <w:tr w:rsidR="00727B83" w:rsidRPr="003122A3" w:rsidTr="00677FAD">
        <w:trPr>
          <w:trHeight w:hRule="exact" w:val="331"/>
          <w:jc w:val="center"/>
        </w:trPr>
        <w:tc>
          <w:tcPr>
            <w:tcW w:w="1909" w:type="dxa"/>
            <w:tcBorders>
              <w:top w:val="nil"/>
            </w:tcBorders>
            <w:vAlign w:val="center"/>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 xml:space="preserve">Camp </w:t>
            </w:r>
          </w:p>
        </w:tc>
        <w:tc>
          <w:tcPr>
            <w:tcW w:w="1386" w:type="dxa"/>
            <w:tcBorders>
              <w:top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19.9</w:t>
            </w:r>
          </w:p>
        </w:tc>
        <w:tc>
          <w:tcPr>
            <w:tcW w:w="1290"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5.6</w:t>
            </w:r>
          </w:p>
        </w:tc>
        <w:tc>
          <w:tcPr>
            <w:tcW w:w="1327"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15.9</w:t>
            </w:r>
          </w:p>
        </w:tc>
        <w:tc>
          <w:tcPr>
            <w:tcW w:w="1151"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85.3</w:t>
            </w:r>
          </w:p>
        </w:tc>
        <w:tc>
          <w:tcPr>
            <w:tcW w:w="1459"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66.6</w:t>
            </w:r>
          </w:p>
        </w:tc>
        <w:tc>
          <w:tcPr>
            <w:tcW w:w="1107" w:type="dxa"/>
            <w:tcBorders>
              <w:top w:val="nil"/>
              <w:lef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64.2</w:t>
            </w:r>
          </w:p>
        </w:tc>
      </w:tr>
      <w:tr w:rsidR="00727B83" w:rsidRPr="003122A3" w:rsidTr="00677FAD">
        <w:trPr>
          <w:trHeight w:hRule="exact" w:val="331"/>
          <w:jc w:val="center"/>
        </w:trPr>
        <w:tc>
          <w:tcPr>
            <w:tcW w:w="9629" w:type="dxa"/>
            <w:gridSpan w:val="7"/>
            <w:shd w:val="clear" w:color="auto" w:fill="F2F2F2"/>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b/>
                <w:bCs/>
                <w:sz w:val="20"/>
                <w:szCs w:val="20"/>
              </w:rPr>
              <w:t>Age in months</w:t>
            </w:r>
          </w:p>
        </w:tc>
      </w:tr>
      <w:tr w:rsidR="00727B83" w:rsidRPr="003122A3" w:rsidTr="00677FAD">
        <w:trPr>
          <w:trHeight w:hRule="exact" w:val="331"/>
          <w:jc w:val="center"/>
        </w:trPr>
        <w:tc>
          <w:tcPr>
            <w:tcW w:w="1909" w:type="dxa"/>
            <w:tcBorders>
              <w:bottom w:val="nil"/>
            </w:tcBorders>
            <w:vAlign w:val="center"/>
          </w:tcPr>
          <w:p w:rsidR="00727B83" w:rsidRPr="003122A3" w:rsidRDefault="00727B83" w:rsidP="00C20825">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 xml:space="preserve">0 </w:t>
            </w:r>
            <w:r w:rsidR="00C20825">
              <w:rPr>
                <w:rFonts w:ascii="Times New Roman" w:hAnsi="Times New Roman" w:cs="Times New Roman"/>
                <w:sz w:val="20"/>
                <w:szCs w:val="20"/>
                <w:lang w:bidi="ar-LB"/>
              </w:rPr>
              <w:t>-</w:t>
            </w:r>
            <w:r w:rsidRPr="003122A3">
              <w:rPr>
                <w:rFonts w:ascii="Times New Roman" w:hAnsi="Times New Roman" w:cs="Times New Roman"/>
                <w:sz w:val="20"/>
                <w:szCs w:val="20"/>
                <w:lang w:bidi="ar-LB"/>
              </w:rPr>
              <w:t xml:space="preserve"> 23</w:t>
            </w:r>
          </w:p>
        </w:tc>
        <w:tc>
          <w:tcPr>
            <w:tcW w:w="1386" w:type="dxa"/>
            <w:tcBorders>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5.4</w:t>
            </w:r>
          </w:p>
        </w:tc>
        <w:tc>
          <w:tcPr>
            <w:tcW w:w="1290" w:type="dxa"/>
            <w:tcBorders>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1.4</w:t>
            </w:r>
          </w:p>
        </w:tc>
        <w:tc>
          <w:tcPr>
            <w:tcW w:w="1327" w:type="dxa"/>
            <w:tcBorders>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10.5</w:t>
            </w:r>
          </w:p>
        </w:tc>
        <w:tc>
          <w:tcPr>
            <w:tcW w:w="1151" w:type="dxa"/>
            <w:tcBorders>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74.2</w:t>
            </w:r>
          </w:p>
        </w:tc>
        <w:tc>
          <w:tcPr>
            <w:tcW w:w="1459" w:type="dxa"/>
            <w:tcBorders>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51.5</w:t>
            </w:r>
          </w:p>
        </w:tc>
        <w:tc>
          <w:tcPr>
            <w:tcW w:w="1107" w:type="dxa"/>
            <w:tcBorders>
              <w:left w:val="nil"/>
              <w:bottom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50.5</w:t>
            </w:r>
          </w:p>
        </w:tc>
      </w:tr>
      <w:tr w:rsidR="00727B83" w:rsidRPr="003122A3" w:rsidTr="00677FAD">
        <w:trPr>
          <w:trHeight w:hRule="exact" w:val="331"/>
          <w:jc w:val="center"/>
        </w:trPr>
        <w:tc>
          <w:tcPr>
            <w:tcW w:w="1909" w:type="dxa"/>
            <w:tcBorders>
              <w:top w:val="nil"/>
            </w:tcBorders>
            <w:vAlign w:val="center"/>
          </w:tcPr>
          <w:p w:rsidR="00727B83" w:rsidRPr="003122A3" w:rsidRDefault="00727B83" w:rsidP="00C20825">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24-59</w:t>
            </w:r>
          </w:p>
        </w:tc>
        <w:tc>
          <w:tcPr>
            <w:tcW w:w="1386" w:type="dxa"/>
            <w:tcBorders>
              <w:top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28.9</w:t>
            </w:r>
          </w:p>
        </w:tc>
        <w:tc>
          <w:tcPr>
            <w:tcW w:w="1290" w:type="dxa"/>
            <w:tcBorders>
              <w:top w:val="nil"/>
              <w:left w:val="nil"/>
              <w:right w:val="nil"/>
            </w:tcBorders>
            <w:vAlign w:val="center"/>
          </w:tcPr>
          <w:p w:rsidR="00727B83" w:rsidRPr="003122A3" w:rsidRDefault="00727B83" w:rsidP="008E657F">
            <w:pPr>
              <w:jc w:val="both"/>
              <w:rPr>
                <w:rFonts w:ascii="Times New Roman" w:hAnsi="Times New Roman" w:cs="Times New Roman"/>
                <w:sz w:val="20"/>
                <w:szCs w:val="20"/>
                <w:rtl/>
              </w:rPr>
            </w:pPr>
            <w:r w:rsidRPr="003122A3">
              <w:rPr>
                <w:rFonts w:ascii="Times New Roman" w:hAnsi="Times New Roman" w:cs="Times New Roman"/>
                <w:sz w:val="20"/>
                <w:szCs w:val="20"/>
                <w:lang w:bidi="ar-LB"/>
              </w:rPr>
              <w:t>5.7</w:t>
            </w:r>
          </w:p>
        </w:tc>
        <w:tc>
          <w:tcPr>
            <w:tcW w:w="1327" w:type="dxa"/>
            <w:tcBorders>
              <w:top w:val="nil"/>
              <w:left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20.3</w:t>
            </w:r>
          </w:p>
        </w:tc>
        <w:tc>
          <w:tcPr>
            <w:tcW w:w="1151" w:type="dxa"/>
            <w:tcBorders>
              <w:top w:val="nil"/>
              <w:left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93.3</w:t>
            </w:r>
          </w:p>
        </w:tc>
        <w:tc>
          <w:tcPr>
            <w:tcW w:w="1459" w:type="dxa"/>
            <w:tcBorders>
              <w:top w:val="nil"/>
              <w:left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82.4</w:t>
            </w:r>
          </w:p>
        </w:tc>
        <w:tc>
          <w:tcPr>
            <w:tcW w:w="1107" w:type="dxa"/>
            <w:tcBorders>
              <w:top w:val="nil"/>
              <w:lef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80.7</w:t>
            </w:r>
          </w:p>
        </w:tc>
      </w:tr>
      <w:tr w:rsidR="00727B83" w:rsidRPr="003122A3" w:rsidTr="00677FAD">
        <w:trPr>
          <w:trHeight w:hRule="exact" w:val="331"/>
          <w:jc w:val="center"/>
        </w:trPr>
        <w:tc>
          <w:tcPr>
            <w:tcW w:w="9629" w:type="dxa"/>
            <w:gridSpan w:val="7"/>
            <w:shd w:val="clear" w:color="auto" w:fill="F2F2F2"/>
          </w:tcPr>
          <w:p w:rsidR="00727B83" w:rsidRPr="003122A3" w:rsidRDefault="00727B83" w:rsidP="008E657F">
            <w:pPr>
              <w:jc w:val="both"/>
              <w:rPr>
                <w:rFonts w:ascii="Times New Roman" w:hAnsi="Times New Roman" w:cs="Times New Roman"/>
                <w:b/>
                <w:bCs/>
                <w:sz w:val="20"/>
                <w:szCs w:val="20"/>
              </w:rPr>
            </w:pPr>
            <w:r w:rsidRPr="003122A3">
              <w:rPr>
                <w:rFonts w:ascii="Times New Roman" w:hAnsi="Times New Roman" w:cs="Times New Roman"/>
                <w:b/>
                <w:bCs/>
                <w:sz w:val="20"/>
                <w:szCs w:val="20"/>
              </w:rPr>
              <w:t>Mother's education</w:t>
            </w:r>
          </w:p>
          <w:p w:rsidR="00727B83" w:rsidRPr="003122A3" w:rsidRDefault="00727B83" w:rsidP="008E657F">
            <w:pPr>
              <w:jc w:val="both"/>
              <w:rPr>
                <w:rFonts w:ascii="Times New Roman" w:hAnsi="Times New Roman" w:cs="Times New Roman"/>
                <w:sz w:val="20"/>
                <w:szCs w:val="20"/>
              </w:rPr>
            </w:pPr>
          </w:p>
        </w:tc>
      </w:tr>
      <w:tr w:rsidR="00727B83" w:rsidRPr="003122A3" w:rsidTr="00677FAD">
        <w:trPr>
          <w:trHeight w:hRule="exact" w:val="331"/>
          <w:jc w:val="center"/>
        </w:trPr>
        <w:tc>
          <w:tcPr>
            <w:tcW w:w="1909" w:type="dxa"/>
            <w:tcBorders>
              <w:bottom w:val="nil"/>
            </w:tcBorders>
          </w:tcPr>
          <w:p w:rsidR="00F53B0B" w:rsidRPr="003122A3" w:rsidRDefault="00F53B0B" w:rsidP="008E657F">
            <w:pPr>
              <w:jc w:val="both"/>
              <w:rPr>
                <w:rFonts w:ascii="Times New Roman" w:hAnsi="Times New Roman" w:cs="Times New Roman"/>
                <w:sz w:val="20"/>
                <w:szCs w:val="20"/>
              </w:rPr>
            </w:pPr>
            <w:r w:rsidRPr="003122A3">
              <w:rPr>
                <w:rFonts w:ascii="Times New Roman" w:hAnsi="Times New Roman" w:cs="Times New Roman"/>
                <w:sz w:val="20"/>
                <w:szCs w:val="20"/>
              </w:rPr>
              <w:t>None</w:t>
            </w:r>
          </w:p>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 xml:space="preserve">                                 </w:t>
            </w:r>
          </w:p>
        </w:tc>
        <w:tc>
          <w:tcPr>
            <w:tcW w:w="1386" w:type="dxa"/>
            <w:tcBorders>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7.9</w:t>
            </w:r>
          </w:p>
        </w:tc>
        <w:tc>
          <w:tcPr>
            <w:tcW w:w="1290" w:type="dxa"/>
            <w:tcBorders>
              <w:left w:val="nil"/>
              <w:bottom w:val="nil"/>
              <w:right w:val="nil"/>
            </w:tcBorders>
            <w:vAlign w:val="center"/>
          </w:tcPr>
          <w:p w:rsidR="00727B83" w:rsidRPr="003122A3" w:rsidRDefault="00F53B0B"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0.0</w:t>
            </w:r>
          </w:p>
        </w:tc>
        <w:tc>
          <w:tcPr>
            <w:tcW w:w="1327"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17.0</w:t>
            </w:r>
          </w:p>
        </w:tc>
        <w:tc>
          <w:tcPr>
            <w:tcW w:w="1151"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64.3</w:t>
            </w:r>
          </w:p>
        </w:tc>
        <w:tc>
          <w:tcPr>
            <w:tcW w:w="1459"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71.5</w:t>
            </w:r>
          </w:p>
        </w:tc>
        <w:tc>
          <w:tcPr>
            <w:tcW w:w="1107" w:type="dxa"/>
            <w:tcBorders>
              <w:left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53.3</w:t>
            </w:r>
          </w:p>
        </w:tc>
      </w:tr>
      <w:tr w:rsidR="00727B83" w:rsidRPr="003122A3" w:rsidTr="00677FAD">
        <w:trPr>
          <w:trHeight w:hRule="exact" w:val="331"/>
          <w:jc w:val="center"/>
        </w:trPr>
        <w:tc>
          <w:tcPr>
            <w:tcW w:w="1909" w:type="dxa"/>
            <w:tcBorders>
              <w:top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 xml:space="preserve">Basic/Elementary                                             </w:t>
            </w:r>
          </w:p>
        </w:tc>
        <w:tc>
          <w:tcPr>
            <w:tcW w:w="1386" w:type="dxa"/>
            <w:tcBorders>
              <w:top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12.6</w:t>
            </w:r>
          </w:p>
        </w:tc>
        <w:tc>
          <w:tcPr>
            <w:tcW w:w="1290" w:type="dxa"/>
            <w:tcBorders>
              <w:top w:val="nil"/>
              <w:left w:val="nil"/>
              <w:bottom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1.4</w:t>
            </w:r>
          </w:p>
        </w:tc>
        <w:tc>
          <w:tcPr>
            <w:tcW w:w="1327"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15.2</w:t>
            </w:r>
          </w:p>
        </w:tc>
        <w:tc>
          <w:tcPr>
            <w:tcW w:w="1151"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81.9</w:t>
            </w:r>
          </w:p>
        </w:tc>
        <w:tc>
          <w:tcPr>
            <w:tcW w:w="1459"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72.5</w:t>
            </w:r>
          </w:p>
        </w:tc>
        <w:tc>
          <w:tcPr>
            <w:tcW w:w="1107" w:type="dxa"/>
            <w:tcBorders>
              <w:top w:val="nil"/>
              <w:left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67.6</w:t>
            </w:r>
          </w:p>
        </w:tc>
      </w:tr>
      <w:tr w:rsidR="00727B83" w:rsidRPr="003122A3" w:rsidTr="00677FAD">
        <w:trPr>
          <w:trHeight w:hRule="exact" w:val="310"/>
          <w:jc w:val="center"/>
        </w:trPr>
        <w:tc>
          <w:tcPr>
            <w:tcW w:w="1909" w:type="dxa"/>
            <w:tcBorders>
              <w:top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 xml:space="preserve">Secondary     </w:t>
            </w:r>
          </w:p>
        </w:tc>
        <w:tc>
          <w:tcPr>
            <w:tcW w:w="1386" w:type="dxa"/>
            <w:tcBorders>
              <w:top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16.4</w:t>
            </w:r>
          </w:p>
        </w:tc>
        <w:tc>
          <w:tcPr>
            <w:tcW w:w="1290" w:type="dxa"/>
            <w:tcBorders>
              <w:top w:val="nil"/>
              <w:left w:val="nil"/>
              <w:bottom w:val="nil"/>
              <w:right w:val="nil"/>
            </w:tcBorders>
            <w:vAlign w:val="center"/>
          </w:tcPr>
          <w:p w:rsidR="00727B83" w:rsidRPr="003122A3" w:rsidRDefault="00F53B0B" w:rsidP="00F53B0B">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2</w:t>
            </w:r>
            <w:r w:rsidR="00727B83" w:rsidRPr="003122A3">
              <w:rPr>
                <w:rFonts w:ascii="Times New Roman" w:hAnsi="Times New Roman" w:cs="Times New Roman"/>
                <w:sz w:val="20"/>
                <w:szCs w:val="20"/>
                <w:lang w:bidi="ar-LB"/>
              </w:rPr>
              <w:t>.</w:t>
            </w:r>
            <w:r w:rsidRPr="003122A3">
              <w:rPr>
                <w:rFonts w:ascii="Times New Roman" w:hAnsi="Times New Roman" w:cs="Times New Roman"/>
                <w:sz w:val="20"/>
                <w:szCs w:val="20"/>
                <w:lang w:bidi="ar-LB"/>
              </w:rPr>
              <w:t>6</w:t>
            </w:r>
          </w:p>
        </w:tc>
        <w:tc>
          <w:tcPr>
            <w:tcW w:w="1327"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16.2</w:t>
            </w:r>
          </w:p>
        </w:tc>
        <w:tc>
          <w:tcPr>
            <w:tcW w:w="1151"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85.8</w:t>
            </w:r>
          </w:p>
        </w:tc>
        <w:tc>
          <w:tcPr>
            <w:tcW w:w="1459"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69.8</w:t>
            </w:r>
          </w:p>
        </w:tc>
        <w:tc>
          <w:tcPr>
            <w:tcW w:w="1107" w:type="dxa"/>
            <w:tcBorders>
              <w:top w:val="nil"/>
              <w:left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68.2</w:t>
            </w:r>
          </w:p>
        </w:tc>
      </w:tr>
      <w:tr w:rsidR="00727B83" w:rsidRPr="003122A3" w:rsidTr="00677FAD">
        <w:trPr>
          <w:trHeight w:hRule="exact" w:val="329"/>
          <w:jc w:val="center"/>
        </w:trPr>
        <w:tc>
          <w:tcPr>
            <w:tcW w:w="1909" w:type="dxa"/>
            <w:tcBorders>
              <w:top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Higher</w:t>
            </w:r>
          </w:p>
        </w:tc>
        <w:tc>
          <w:tcPr>
            <w:tcW w:w="1386" w:type="dxa"/>
            <w:tcBorders>
              <w:top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29.6</w:t>
            </w:r>
          </w:p>
        </w:tc>
        <w:tc>
          <w:tcPr>
            <w:tcW w:w="1290" w:type="dxa"/>
            <w:tcBorders>
              <w:top w:val="nil"/>
              <w:left w:val="nil"/>
              <w:right w:val="nil"/>
            </w:tcBorders>
            <w:vAlign w:val="center"/>
          </w:tcPr>
          <w:p w:rsidR="00727B83" w:rsidRPr="003122A3" w:rsidRDefault="00727B83" w:rsidP="008E657F">
            <w:pPr>
              <w:jc w:val="both"/>
              <w:rPr>
                <w:rFonts w:ascii="Times New Roman" w:hAnsi="Times New Roman" w:cs="Times New Roman"/>
                <w:sz w:val="20"/>
                <w:szCs w:val="20"/>
                <w:lang w:bidi="ar-LB"/>
              </w:rPr>
            </w:pPr>
            <w:r w:rsidRPr="003122A3">
              <w:rPr>
                <w:rFonts w:ascii="Times New Roman" w:hAnsi="Times New Roman" w:cs="Times New Roman"/>
                <w:sz w:val="20"/>
                <w:szCs w:val="20"/>
                <w:lang w:bidi="ar-LB"/>
              </w:rPr>
              <w:t>7.8</w:t>
            </w:r>
          </w:p>
        </w:tc>
        <w:tc>
          <w:tcPr>
            <w:tcW w:w="1327"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17.9</w:t>
            </w:r>
          </w:p>
        </w:tc>
        <w:tc>
          <w:tcPr>
            <w:tcW w:w="1151"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89.9</w:t>
            </w:r>
          </w:p>
        </w:tc>
        <w:tc>
          <w:tcPr>
            <w:tcW w:w="1459"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69.7</w:t>
            </w:r>
          </w:p>
        </w:tc>
        <w:tc>
          <w:tcPr>
            <w:tcW w:w="1107" w:type="dxa"/>
            <w:tcBorders>
              <w:top w:val="nil"/>
              <w:lef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71.4</w:t>
            </w:r>
          </w:p>
        </w:tc>
      </w:tr>
      <w:tr w:rsidR="00727B83" w:rsidRPr="003122A3" w:rsidTr="00677FAD">
        <w:trPr>
          <w:trHeight w:hRule="exact" w:val="331"/>
          <w:jc w:val="center"/>
        </w:trPr>
        <w:tc>
          <w:tcPr>
            <w:tcW w:w="9629" w:type="dxa"/>
            <w:gridSpan w:val="7"/>
            <w:shd w:val="clear" w:color="auto" w:fill="F2F2F2"/>
          </w:tcPr>
          <w:p w:rsidR="00727B83" w:rsidRPr="003122A3" w:rsidRDefault="00727B83" w:rsidP="00C20825">
            <w:pPr>
              <w:jc w:val="both"/>
              <w:rPr>
                <w:rFonts w:ascii="Times New Roman" w:hAnsi="Times New Roman" w:cs="Times New Roman"/>
                <w:b/>
                <w:bCs/>
                <w:sz w:val="20"/>
                <w:szCs w:val="20"/>
              </w:rPr>
            </w:pPr>
            <w:r w:rsidRPr="003122A3">
              <w:rPr>
                <w:rFonts w:ascii="Times New Roman" w:hAnsi="Times New Roman" w:cs="Times New Roman"/>
                <w:b/>
                <w:bCs/>
                <w:sz w:val="20"/>
                <w:szCs w:val="20"/>
              </w:rPr>
              <w:t>Wealth ind</w:t>
            </w:r>
            <w:r w:rsidR="00C20825">
              <w:rPr>
                <w:rFonts w:ascii="Times New Roman" w:hAnsi="Times New Roman" w:cs="Times New Roman"/>
                <w:b/>
                <w:bCs/>
                <w:sz w:val="20"/>
                <w:szCs w:val="20"/>
              </w:rPr>
              <w:t>ex</w:t>
            </w:r>
          </w:p>
          <w:p w:rsidR="00727B83" w:rsidRPr="003122A3" w:rsidRDefault="00727B83" w:rsidP="008E657F">
            <w:pPr>
              <w:jc w:val="both"/>
              <w:rPr>
                <w:rFonts w:ascii="Times New Roman" w:hAnsi="Times New Roman" w:cs="Times New Roman"/>
                <w:sz w:val="20"/>
                <w:szCs w:val="20"/>
              </w:rPr>
            </w:pPr>
          </w:p>
        </w:tc>
      </w:tr>
      <w:tr w:rsidR="00727B83" w:rsidRPr="003122A3" w:rsidTr="00677FAD">
        <w:trPr>
          <w:trHeight w:hRule="exact" w:val="331"/>
          <w:jc w:val="center"/>
        </w:trPr>
        <w:tc>
          <w:tcPr>
            <w:tcW w:w="1909" w:type="dxa"/>
            <w:tcBorders>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 xml:space="preserve">Poorest                                           </w:t>
            </w:r>
          </w:p>
        </w:tc>
        <w:tc>
          <w:tcPr>
            <w:tcW w:w="1386" w:type="dxa"/>
            <w:tcBorders>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12.9</w:t>
            </w:r>
          </w:p>
        </w:tc>
        <w:tc>
          <w:tcPr>
            <w:tcW w:w="1290"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2.7</w:t>
            </w:r>
          </w:p>
        </w:tc>
        <w:tc>
          <w:tcPr>
            <w:tcW w:w="1327"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16.5</w:t>
            </w:r>
          </w:p>
        </w:tc>
        <w:tc>
          <w:tcPr>
            <w:tcW w:w="1151"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78.9</w:t>
            </w:r>
          </w:p>
        </w:tc>
        <w:tc>
          <w:tcPr>
            <w:tcW w:w="1459" w:type="dxa"/>
            <w:tcBorders>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71.8</w:t>
            </w:r>
          </w:p>
        </w:tc>
        <w:tc>
          <w:tcPr>
            <w:tcW w:w="1107" w:type="dxa"/>
            <w:tcBorders>
              <w:left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64.3</w:t>
            </w:r>
          </w:p>
        </w:tc>
      </w:tr>
      <w:tr w:rsidR="00727B83" w:rsidRPr="003122A3" w:rsidTr="00677FAD">
        <w:trPr>
          <w:trHeight w:hRule="exact" w:val="331"/>
          <w:jc w:val="center"/>
        </w:trPr>
        <w:tc>
          <w:tcPr>
            <w:tcW w:w="1909" w:type="dxa"/>
            <w:tcBorders>
              <w:top w:val="nil"/>
              <w:bottom w:val="nil"/>
            </w:tcBorders>
          </w:tcPr>
          <w:p w:rsidR="00727B83" w:rsidRPr="003122A3" w:rsidRDefault="00727B83" w:rsidP="008E657F">
            <w:pPr>
              <w:jc w:val="both"/>
              <w:rPr>
                <w:rFonts w:ascii="Times New Roman" w:hAnsi="Times New Roman" w:cs="Times New Roman"/>
                <w:sz w:val="20"/>
                <w:szCs w:val="20"/>
                <w:rtl/>
              </w:rPr>
            </w:pPr>
            <w:r w:rsidRPr="003122A3">
              <w:rPr>
                <w:rFonts w:ascii="Times New Roman" w:hAnsi="Times New Roman" w:cs="Times New Roman"/>
                <w:sz w:val="20"/>
                <w:szCs w:val="20"/>
              </w:rPr>
              <w:t xml:space="preserve">Second </w:t>
            </w:r>
          </w:p>
        </w:tc>
        <w:tc>
          <w:tcPr>
            <w:tcW w:w="1386" w:type="dxa"/>
            <w:tcBorders>
              <w:top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21.6</w:t>
            </w:r>
          </w:p>
        </w:tc>
        <w:tc>
          <w:tcPr>
            <w:tcW w:w="1290"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4.4</w:t>
            </w:r>
          </w:p>
        </w:tc>
        <w:tc>
          <w:tcPr>
            <w:tcW w:w="1327"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17.9</w:t>
            </w:r>
          </w:p>
        </w:tc>
        <w:tc>
          <w:tcPr>
            <w:tcW w:w="1151"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86.0</w:t>
            </w:r>
          </w:p>
        </w:tc>
        <w:tc>
          <w:tcPr>
            <w:tcW w:w="1459"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69.9</w:t>
            </w:r>
          </w:p>
        </w:tc>
        <w:tc>
          <w:tcPr>
            <w:tcW w:w="1107" w:type="dxa"/>
            <w:tcBorders>
              <w:top w:val="nil"/>
              <w:left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68.3</w:t>
            </w:r>
          </w:p>
        </w:tc>
      </w:tr>
      <w:tr w:rsidR="00727B83" w:rsidRPr="003122A3" w:rsidTr="00677FAD">
        <w:trPr>
          <w:trHeight w:hRule="exact" w:val="331"/>
          <w:jc w:val="center"/>
        </w:trPr>
        <w:tc>
          <w:tcPr>
            <w:tcW w:w="1909" w:type="dxa"/>
            <w:tcBorders>
              <w:top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Middle</w:t>
            </w:r>
          </w:p>
        </w:tc>
        <w:tc>
          <w:tcPr>
            <w:tcW w:w="1386" w:type="dxa"/>
            <w:tcBorders>
              <w:top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16.6</w:t>
            </w:r>
          </w:p>
        </w:tc>
        <w:tc>
          <w:tcPr>
            <w:tcW w:w="1290"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2.5</w:t>
            </w:r>
          </w:p>
        </w:tc>
        <w:tc>
          <w:tcPr>
            <w:tcW w:w="1327"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18.1</w:t>
            </w:r>
          </w:p>
        </w:tc>
        <w:tc>
          <w:tcPr>
            <w:tcW w:w="1151"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87.7</w:t>
            </w:r>
          </w:p>
        </w:tc>
        <w:tc>
          <w:tcPr>
            <w:tcW w:w="1459"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69.6</w:t>
            </w:r>
          </w:p>
        </w:tc>
        <w:tc>
          <w:tcPr>
            <w:tcW w:w="1107" w:type="dxa"/>
            <w:tcBorders>
              <w:top w:val="nil"/>
              <w:left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70.6</w:t>
            </w:r>
          </w:p>
        </w:tc>
      </w:tr>
      <w:tr w:rsidR="00727B83" w:rsidRPr="003122A3" w:rsidTr="00677FAD">
        <w:trPr>
          <w:trHeight w:hRule="exact" w:val="331"/>
          <w:jc w:val="center"/>
        </w:trPr>
        <w:tc>
          <w:tcPr>
            <w:tcW w:w="1909" w:type="dxa"/>
            <w:tcBorders>
              <w:top w:val="nil"/>
              <w:bottom w:val="nil"/>
            </w:tcBorders>
          </w:tcPr>
          <w:p w:rsidR="00727B83" w:rsidRPr="003122A3" w:rsidRDefault="00727B83" w:rsidP="008E657F">
            <w:pPr>
              <w:jc w:val="both"/>
              <w:rPr>
                <w:rFonts w:ascii="Times New Roman" w:hAnsi="Times New Roman" w:cs="Times New Roman"/>
                <w:sz w:val="20"/>
                <w:szCs w:val="20"/>
                <w:rtl/>
              </w:rPr>
            </w:pPr>
            <w:r w:rsidRPr="003122A3">
              <w:rPr>
                <w:rFonts w:ascii="Times New Roman" w:hAnsi="Times New Roman" w:cs="Times New Roman"/>
                <w:sz w:val="20"/>
                <w:szCs w:val="20"/>
              </w:rPr>
              <w:t xml:space="preserve">Fourth </w:t>
            </w:r>
          </w:p>
        </w:tc>
        <w:tc>
          <w:tcPr>
            <w:tcW w:w="1386" w:type="dxa"/>
            <w:tcBorders>
              <w:top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21.2</w:t>
            </w:r>
          </w:p>
        </w:tc>
        <w:tc>
          <w:tcPr>
            <w:tcW w:w="1290"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3.6</w:t>
            </w:r>
          </w:p>
        </w:tc>
        <w:tc>
          <w:tcPr>
            <w:tcW w:w="1327"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16.3</w:t>
            </w:r>
          </w:p>
        </w:tc>
        <w:tc>
          <w:tcPr>
            <w:tcW w:w="1151"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89.4</w:t>
            </w:r>
          </w:p>
        </w:tc>
        <w:tc>
          <w:tcPr>
            <w:tcW w:w="1459" w:type="dxa"/>
            <w:tcBorders>
              <w:top w:val="nil"/>
              <w:left w:val="nil"/>
              <w:bottom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71.2</w:t>
            </w:r>
          </w:p>
        </w:tc>
        <w:tc>
          <w:tcPr>
            <w:tcW w:w="1107" w:type="dxa"/>
            <w:tcBorders>
              <w:top w:val="nil"/>
              <w:left w:val="nil"/>
              <w:bottom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72.9</w:t>
            </w:r>
          </w:p>
        </w:tc>
      </w:tr>
      <w:tr w:rsidR="00727B83" w:rsidRPr="003122A3" w:rsidTr="003D3155">
        <w:trPr>
          <w:trHeight w:hRule="exact" w:val="341"/>
          <w:jc w:val="center"/>
        </w:trPr>
        <w:tc>
          <w:tcPr>
            <w:tcW w:w="1909" w:type="dxa"/>
            <w:tcBorders>
              <w:top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Richest</w:t>
            </w:r>
          </w:p>
        </w:tc>
        <w:tc>
          <w:tcPr>
            <w:tcW w:w="1386" w:type="dxa"/>
            <w:tcBorders>
              <w:top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31.0</w:t>
            </w:r>
          </w:p>
        </w:tc>
        <w:tc>
          <w:tcPr>
            <w:tcW w:w="1290"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8.0</w:t>
            </w:r>
          </w:p>
        </w:tc>
        <w:tc>
          <w:tcPr>
            <w:tcW w:w="1327"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13.2</w:t>
            </w:r>
          </w:p>
        </w:tc>
        <w:tc>
          <w:tcPr>
            <w:tcW w:w="1151"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91.1</w:t>
            </w:r>
          </w:p>
        </w:tc>
        <w:tc>
          <w:tcPr>
            <w:tcW w:w="1459" w:type="dxa"/>
            <w:tcBorders>
              <w:top w:val="nil"/>
              <w:left w:val="nil"/>
              <w:righ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69.9</w:t>
            </w:r>
          </w:p>
        </w:tc>
        <w:tc>
          <w:tcPr>
            <w:tcW w:w="1107" w:type="dxa"/>
            <w:tcBorders>
              <w:top w:val="nil"/>
              <w:left w:val="nil"/>
            </w:tcBorders>
          </w:tcPr>
          <w:p w:rsidR="00727B83" w:rsidRPr="003122A3" w:rsidRDefault="00727B83" w:rsidP="008E657F">
            <w:pPr>
              <w:jc w:val="both"/>
              <w:rPr>
                <w:rFonts w:ascii="Times New Roman" w:hAnsi="Times New Roman" w:cs="Times New Roman"/>
                <w:sz w:val="20"/>
                <w:szCs w:val="20"/>
              </w:rPr>
            </w:pPr>
            <w:r w:rsidRPr="003122A3">
              <w:rPr>
                <w:rFonts w:ascii="Times New Roman" w:hAnsi="Times New Roman" w:cs="Times New Roman"/>
                <w:sz w:val="20"/>
                <w:szCs w:val="20"/>
              </w:rPr>
              <w:t>71.4</w:t>
            </w:r>
          </w:p>
        </w:tc>
      </w:tr>
      <w:tr w:rsidR="00727B83" w:rsidRPr="003122A3" w:rsidTr="00677FAD">
        <w:trPr>
          <w:trHeight w:hRule="exact" w:val="331"/>
          <w:jc w:val="center"/>
        </w:trPr>
        <w:tc>
          <w:tcPr>
            <w:tcW w:w="1909" w:type="dxa"/>
            <w:shd w:val="clear" w:color="auto" w:fill="D9D9D9"/>
            <w:vAlign w:val="center"/>
          </w:tcPr>
          <w:p w:rsidR="00727B83" w:rsidRPr="003122A3" w:rsidRDefault="00727B83" w:rsidP="008E657F">
            <w:pPr>
              <w:jc w:val="both"/>
              <w:rPr>
                <w:rFonts w:ascii="Times New Roman" w:hAnsi="Times New Roman" w:cs="Times New Roman"/>
                <w:b/>
                <w:bCs/>
                <w:sz w:val="20"/>
                <w:szCs w:val="20"/>
                <w:lang w:bidi="ar-SY"/>
              </w:rPr>
            </w:pPr>
            <w:r w:rsidRPr="003122A3">
              <w:rPr>
                <w:rFonts w:ascii="Times New Roman" w:hAnsi="Times New Roman" w:cs="Times New Roman"/>
                <w:b/>
                <w:bCs/>
                <w:sz w:val="20"/>
                <w:szCs w:val="20"/>
              </w:rPr>
              <w:t>Palestine</w:t>
            </w:r>
          </w:p>
        </w:tc>
        <w:tc>
          <w:tcPr>
            <w:tcW w:w="1386" w:type="dxa"/>
            <w:tcBorders>
              <w:right w:val="nil"/>
            </w:tcBorders>
            <w:shd w:val="clear" w:color="auto" w:fill="D9D9D9"/>
          </w:tcPr>
          <w:p w:rsidR="00727B83" w:rsidRPr="003122A3" w:rsidRDefault="00727B83" w:rsidP="008E657F">
            <w:pPr>
              <w:jc w:val="both"/>
              <w:rPr>
                <w:rFonts w:ascii="Times New Roman" w:hAnsi="Times New Roman" w:cs="Times New Roman"/>
                <w:b/>
                <w:bCs/>
                <w:sz w:val="20"/>
                <w:szCs w:val="20"/>
              </w:rPr>
            </w:pPr>
            <w:r w:rsidRPr="003122A3">
              <w:rPr>
                <w:rFonts w:ascii="Times New Roman" w:hAnsi="Times New Roman" w:cs="Times New Roman"/>
                <w:b/>
                <w:bCs/>
                <w:sz w:val="20"/>
                <w:szCs w:val="20"/>
              </w:rPr>
              <w:t>19.9</w:t>
            </w:r>
          </w:p>
        </w:tc>
        <w:tc>
          <w:tcPr>
            <w:tcW w:w="1290" w:type="dxa"/>
            <w:tcBorders>
              <w:left w:val="nil"/>
              <w:right w:val="nil"/>
            </w:tcBorders>
            <w:shd w:val="clear" w:color="auto" w:fill="D9D9D9"/>
          </w:tcPr>
          <w:p w:rsidR="00727B83" w:rsidRPr="003122A3" w:rsidRDefault="00727B83" w:rsidP="008E657F">
            <w:pPr>
              <w:jc w:val="both"/>
              <w:rPr>
                <w:rFonts w:ascii="Times New Roman" w:hAnsi="Times New Roman" w:cs="Times New Roman"/>
                <w:b/>
                <w:bCs/>
                <w:sz w:val="20"/>
                <w:szCs w:val="20"/>
              </w:rPr>
            </w:pPr>
            <w:r w:rsidRPr="003122A3">
              <w:rPr>
                <w:rFonts w:ascii="Times New Roman" w:hAnsi="Times New Roman" w:cs="Times New Roman"/>
                <w:b/>
                <w:bCs/>
                <w:sz w:val="20"/>
                <w:szCs w:val="20"/>
              </w:rPr>
              <w:t>4.1</w:t>
            </w:r>
          </w:p>
        </w:tc>
        <w:tc>
          <w:tcPr>
            <w:tcW w:w="1327" w:type="dxa"/>
            <w:tcBorders>
              <w:left w:val="nil"/>
              <w:right w:val="nil"/>
            </w:tcBorders>
            <w:shd w:val="clear" w:color="auto" w:fill="D9D9D9"/>
          </w:tcPr>
          <w:p w:rsidR="00727B83" w:rsidRPr="003122A3" w:rsidRDefault="00727B83" w:rsidP="008E657F">
            <w:pPr>
              <w:jc w:val="both"/>
              <w:rPr>
                <w:rFonts w:ascii="Times New Roman" w:hAnsi="Times New Roman" w:cs="Times New Roman"/>
                <w:b/>
                <w:bCs/>
                <w:sz w:val="20"/>
                <w:szCs w:val="20"/>
              </w:rPr>
            </w:pPr>
            <w:r w:rsidRPr="003122A3">
              <w:rPr>
                <w:rFonts w:ascii="Times New Roman" w:hAnsi="Times New Roman" w:cs="Times New Roman"/>
                <w:b/>
                <w:bCs/>
                <w:sz w:val="20"/>
                <w:szCs w:val="20"/>
              </w:rPr>
              <w:t>16.5</w:t>
            </w:r>
          </w:p>
        </w:tc>
        <w:tc>
          <w:tcPr>
            <w:tcW w:w="1151" w:type="dxa"/>
            <w:tcBorders>
              <w:left w:val="nil"/>
              <w:right w:val="nil"/>
            </w:tcBorders>
            <w:shd w:val="clear" w:color="auto" w:fill="D9D9D9"/>
          </w:tcPr>
          <w:p w:rsidR="00727B83" w:rsidRPr="003122A3" w:rsidRDefault="00727B83" w:rsidP="008E657F">
            <w:pPr>
              <w:jc w:val="both"/>
              <w:rPr>
                <w:rFonts w:ascii="Times New Roman" w:hAnsi="Times New Roman" w:cs="Times New Roman"/>
                <w:b/>
                <w:bCs/>
                <w:sz w:val="20"/>
                <w:szCs w:val="20"/>
              </w:rPr>
            </w:pPr>
            <w:r w:rsidRPr="003122A3">
              <w:rPr>
                <w:rFonts w:ascii="Times New Roman" w:hAnsi="Times New Roman" w:cs="Times New Roman"/>
                <w:b/>
                <w:bCs/>
                <w:sz w:val="20"/>
                <w:szCs w:val="20"/>
              </w:rPr>
              <w:t>86.0</w:t>
            </w:r>
          </w:p>
        </w:tc>
        <w:tc>
          <w:tcPr>
            <w:tcW w:w="1459" w:type="dxa"/>
            <w:tcBorders>
              <w:left w:val="nil"/>
              <w:right w:val="nil"/>
            </w:tcBorders>
            <w:shd w:val="clear" w:color="auto" w:fill="D9D9D9"/>
          </w:tcPr>
          <w:p w:rsidR="00727B83" w:rsidRPr="003122A3" w:rsidRDefault="00727B83" w:rsidP="008E657F">
            <w:pPr>
              <w:jc w:val="both"/>
              <w:rPr>
                <w:rFonts w:ascii="Times New Roman" w:hAnsi="Times New Roman" w:cs="Times New Roman"/>
                <w:b/>
                <w:bCs/>
                <w:sz w:val="20"/>
                <w:szCs w:val="20"/>
              </w:rPr>
            </w:pPr>
            <w:r w:rsidRPr="003122A3">
              <w:rPr>
                <w:rFonts w:ascii="Times New Roman" w:hAnsi="Times New Roman" w:cs="Times New Roman"/>
                <w:b/>
                <w:bCs/>
                <w:sz w:val="20"/>
                <w:szCs w:val="20"/>
              </w:rPr>
              <w:t>70.6</w:t>
            </w:r>
          </w:p>
        </w:tc>
        <w:tc>
          <w:tcPr>
            <w:tcW w:w="1107" w:type="dxa"/>
            <w:tcBorders>
              <w:left w:val="nil"/>
            </w:tcBorders>
            <w:shd w:val="clear" w:color="auto" w:fill="D9D9D9"/>
          </w:tcPr>
          <w:p w:rsidR="00727B83" w:rsidRPr="003122A3" w:rsidRDefault="00727B83" w:rsidP="008E657F">
            <w:pPr>
              <w:jc w:val="both"/>
              <w:rPr>
                <w:rFonts w:ascii="Times New Roman" w:hAnsi="Times New Roman" w:cs="Times New Roman"/>
                <w:b/>
                <w:bCs/>
                <w:sz w:val="20"/>
                <w:szCs w:val="20"/>
              </w:rPr>
            </w:pPr>
            <w:r w:rsidRPr="003122A3">
              <w:rPr>
                <w:rFonts w:ascii="Times New Roman" w:hAnsi="Times New Roman" w:cs="Times New Roman"/>
                <w:b/>
                <w:bCs/>
                <w:sz w:val="20"/>
                <w:szCs w:val="20"/>
              </w:rPr>
              <w:t>69.1</w:t>
            </w:r>
          </w:p>
        </w:tc>
      </w:tr>
    </w:tbl>
    <w:p w:rsidR="00972C5A" w:rsidRPr="003122A3" w:rsidRDefault="00972C5A" w:rsidP="003D3155">
      <w:pPr>
        <w:jc w:val="both"/>
        <w:rPr>
          <w:rFonts w:ascii="Times New Roman" w:hAnsi="Times New Roman" w:cs="Times New Roman"/>
          <w:szCs w:val="24"/>
        </w:rPr>
      </w:pPr>
    </w:p>
    <w:p w:rsidR="003E0608" w:rsidRDefault="00727B83" w:rsidP="00E53648">
      <w:pPr>
        <w:spacing w:after="0" w:line="240" w:lineRule="auto"/>
        <w:jc w:val="both"/>
        <w:rPr>
          <w:rFonts w:ascii="Times New Roman" w:hAnsi="Times New Roman" w:cs="Times New Roman"/>
          <w:szCs w:val="24"/>
        </w:rPr>
      </w:pPr>
      <w:r w:rsidRPr="003122A3">
        <w:rPr>
          <w:rFonts w:ascii="Times New Roman" w:hAnsi="Times New Roman" w:cs="Times New Roman"/>
          <w:szCs w:val="24"/>
        </w:rPr>
        <w:t>Around 69.1% of children in the age group from birth to 59 months had two or more toys to play with at home. The Palestinian survey made a distinction between homemade toys (such as dolls, cars or other toys made at home), manufactured toys that had been purchased and household objects which could be used for play (such as pots and bowls or objects and materials found touside the home like sticks, stones, shells, animals or leaves). It is interesting to note that 86.0% of children played with toys that have been bought while homemade toys represented 16.5%. Children in the West Bank were more advantaged with 71.9% with toys, compared to 65.9% oly for the Gaza Strip. Clear differences were observed in terms of level of wealth as 64.3% of the poorest household children had two or more objects to play with compared to 71.4% in the richest households</w:t>
      </w:r>
    </w:p>
    <w:p w:rsidR="00E53648" w:rsidRPr="003122A3" w:rsidRDefault="00E53648" w:rsidP="00E53648">
      <w:pPr>
        <w:spacing w:after="0" w:line="240" w:lineRule="auto"/>
        <w:jc w:val="both"/>
        <w:rPr>
          <w:rFonts w:ascii="Times New Roman" w:hAnsi="Times New Roman" w:cs="Times New Roman"/>
          <w:szCs w:val="24"/>
        </w:rPr>
      </w:pPr>
    </w:p>
    <w:p w:rsidR="003D3155" w:rsidRPr="003122A3" w:rsidRDefault="00835DA2" w:rsidP="003D3155">
      <w:pPr>
        <w:pStyle w:val="Heading2"/>
        <w:ind w:firstLineChars="0" w:firstLine="0"/>
        <w:jc w:val="left"/>
        <w:rPr>
          <w:rFonts w:ascii="Times New Roman" w:hAnsi="Times New Roman" w:cs="Times New Roman"/>
          <w:sz w:val="24"/>
          <w:szCs w:val="24"/>
          <w:lang w:bidi="ar-JO"/>
        </w:rPr>
      </w:pPr>
      <w:bookmarkStart w:id="123" w:name="_Toc420245013"/>
      <w:r w:rsidRPr="003122A3">
        <w:rPr>
          <w:rFonts w:ascii="Times New Roman" w:hAnsi="Times New Roman" w:cs="Times New Roman"/>
          <w:sz w:val="24"/>
          <w:szCs w:val="24"/>
          <w:lang w:bidi="ar-JO"/>
        </w:rPr>
        <w:t>8.3 Adequate Care</w:t>
      </w:r>
      <w:bookmarkEnd w:id="123"/>
    </w:p>
    <w:p w:rsidR="00972C5A" w:rsidRPr="00E53648" w:rsidRDefault="00972C5A" w:rsidP="00E53648">
      <w:pPr>
        <w:spacing w:after="0" w:line="240" w:lineRule="auto"/>
        <w:jc w:val="both"/>
        <w:rPr>
          <w:rFonts w:ascii="Times New Roman" w:hAnsi="Times New Roman" w:cs="Times New Roman"/>
          <w:szCs w:val="24"/>
          <w:rtl/>
        </w:rPr>
      </w:pPr>
    </w:p>
    <w:p w:rsidR="00835DA2" w:rsidRDefault="00835DA2" w:rsidP="006940D4">
      <w:pPr>
        <w:spacing w:after="0" w:line="240" w:lineRule="auto"/>
        <w:jc w:val="both"/>
        <w:rPr>
          <w:rFonts w:ascii="Times New Roman" w:hAnsi="Times New Roman" w:cs="Times New Roman"/>
          <w:sz w:val="24"/>
          <w:szCs w:val="24"/>
          <w:lang w:val="en-GB" w:bidi="ar-JO"/>
        </w:rPr>
      </w:pPr>
      <w:r w:rsidRPr="003122A3">
        <w:rPr>
          <w:rFonts w:ascii="Times New Roman" w:hAnsi="Times New Roman" w:cs="Times New Roman"/>
          <w:sz w:val="24"/>
          <w:szCs w:val="24"/>
          <w:lang w:val="en-GB" w:bidi="ar-JO"/>
        </w:rPr>
        <w:t>Leaving children alone or in the presence of other young children is a factor that increases risk of accidents. The P</w:t>
      </w:r>
      <w:r w:rsidR="006940D4">
        <w:rPr>
          <w:rFonts w:ascii="Times New Roman" w:hAnsi="Times New Roman" w:cs="Times New Roman"/>
          <w:sz w:val="24"/>
          <w:szCs w:val="24"/>
          <w:lang w:val="en-GB" w:bidi="ar-JO"/>
        </w:rPr>
        <w:t>MICS</w:t>
      </w:r>
      <w:r w:rsidRPr="003122A3">
        <w:rPr>
          <w:rFonts w:ascii="Times New Roman" w:hAnsi="Times New Roman" w:cs="Times New Roman"/>
          <w:sz w:val="24"/>
          <w:szCs w:val="24"/>
          <w:lang w:val="en-GB" w:bidi="ar-JO"/>
        </w:rPr>
        <w:t xml:space="preserve"> of 2014 asked two questions to find out whether children aged 0-59 months had been left alone during the week that preceded the interview and whether they had been left in the care of other children under 10 years of age.</w:t>
      </w:r>
    </w:p>
    <w:p w:rsidR="00E53648" w:rsidRPr="003122A3" w:rsidRDefault="00E53648" w:rsidP="00E53648">
      <w:pPr>
        <w:spacing w:after="0" w:line="240" w:lineRule="auto"/>
        <w:jc w:val="both"/>
        <w:rPr>
          <w:rFonts w:ascii="Times New Roman" w:hAnsi="Times New Roman" w:cs="Times New Roman"/>
          <w:sz w:val="24"/>
          <w:szCs w:val="24"/>
          <w:lang w:val="en-GB" w:bidi="ar-JO"/>
        </w:rPr>
      </w:pPr>
    </w:p>
    <w:p w:rsidR="00835DA2" w:rsidRDefault="00835DA2" w:rsidP="00E53648">
      <w:pPr>
        <w:spacing w:after="0" w:line="240" w:lineRule="auto"/>
        <w:jc w:val="both"/>
        <w:rPr>
          <w:rFonts w:ascii="Times New Roman" w:hAnsi="Times New Roman" w:cs="Times New Roman"/>
          <w:sz w:val="24"/>
          <w:szCs w:val="24"/>
          <w:lang w:val="en-GB" w:bidi="ar-JO"/>
        </w:rPr>
      </w:pPr>
      <w:r w:rsidRPr="003122A3">
        <w:rPr>
          <w:rFonts w:ascii="Times New Roman" w:hAnsi="Times New Roman" w:cs="Times New Roman"/>
          <w:sz w:val="24"/>
          <w:szCs w:val="24"/>
          <w:lang w:val="en-GB" w:bidi="ar-JO"/>
        </w:rPr>
        <w:t xml:space="preserve">11.5% of children aged 0-59 months were left in the care of children under 10 years old while 4.2% of children were left alone in the week preceding the interview. By combining these two care indicators, 14.3% of children were left without adequate care in the week preceding the survey, either alone or in the care of children under 10 years old. Inadequate care was less prevalent in the West Bank, recording 13.1% compared to 15.6% </w:t>
      </w:r>
      <w:r w:rsidR="00A91E3A">
        <w:rPr>
          <w:rFonts w:ascii="Times New Roman" w:hAnsi="Times New Roman" w:cs="Times New Roman"/>
          <w:sz w:val="24"/>
          <w:szCs w:val="24"/>
          <w:lang w:val="en-GB" w:bidi="ar-JO"/>
        </w:rPr>
        <w:t>in Gaza Strip</w:t>
      </w:r>
      <w:r w:rsidRPr="003122A3">
        <w:rPr>
          <w:rFonts w:ascii="Times New Roman" w:hAnsi="Times New Roman" w:cs="Times New Roman"/>
          <w:sz w:val="24"/>
          <w:szCs w:val="24"/>
          <w:lang w:val="en-GB" w:bidi="ar-JO"/>
        </w:rPr>
        <w:t>. The percentage of children aged 24-59 months lefit without adequate care was 17.3%, that is 9.4% higher than the children aged 0-23 months.</w:t>
      </w:r>
    </w:p>
    <w:p w:rsidR="00E53648" w:rsidRPr="003122A3" w:rsidRDefault="00E53648" w:rsidP="00E53648">
      <w:pPr>
        <w:spacing w:after="0" w:line="240" w:lineRule="auto"/>
        <w:jc w:val="both"/>
        <w:rPr>
          <w:rFonts w:ascii="Times New Roman" w:hAnsi="Times New Roman" w:cs="Times New Roman"/>
          <w:sz w:val="24"/>
          <w:szCs w:val="24"/>
          <w:rtl/>
          <w:lang w:val="en-GB" w:bidi="ar-JO"/>
        </w:rPr>
      </w:pPr>
    </w:p>
    <w:p w:rsidR="00B570D1" w:rsidRPr="003122A3" w:rsidRDefault="00B570D1" w:rsidP="004605B3">
      <w:pPr>
        <w:pStyle w:val="Caption"/>
        <w:keepNext/>
        <w:bidi w:val="0"/>
        <w:rPr>
          <w:sz w:val="22"/>
          <w:szCs w:val="22"/>
        </w:rPr>
      </w:pPr>
      <w:bookmarkStart w:id="124" w:name="_Toc420269314"/>
      <w:r w:rsidRPr="003122A3">
        <w:rPr>
          <w:sz w:val="22"/>
          <w:szCs w:val="22"/>
        </w:rPr>
        <w:t>Table</w:t>
      </w:r>
      <w:r w:rsidR="00FF65EC" w:rsidRPr="003122A3">
        <w:rPr>
          <w:sz w:val="22"/>
          <w:szCs w:val="22"/>
        </w:rPr>
        <w:t xml:space="preserve"> </w:t>
      </w:r>
      <w:r w:rsidRPr="003122A3">
        <w:rPr>
          <w:sz w:val="22"/>
          <w:szCs w:val="22"/>
          <w:rtl/>
        </w:rPr>
        <w:t xml:space="preserve"> </w:t>
      </w:r>
      <w:r w:rsidR="008F57C8" w:rsidRPr="003122A3">
        <w:rPr>
          <w:sz w:val="22"/>
          <w:szCs w:val="22"/>
          <w:rtl/>
        </w:rPr>
        <w:fldChar w:fldCharType="begin"/>
      </w:r>
      <w:r w:rsidRPr="003122A3">
        <w:rPr>
          <w:sz w:val="22"/>
          <w:szCs w:val="22"/>
          <w:rtl/>
        </w:rPr>
        <w:instrText xml:space="preserve"> </w:instrText>
      </w:r>
      <w:r w:rsidRPr="003122A3">
        <w:rPr>
          <w:sz w:val="22"/>
          <w:szCs w:val="22"/>
        </w:rPr>
        <w:instrText>SEQ</w:instrText>
      </w:r>
      <w:r w:rsidRPr="003122A3">
        <w:rPr>
          <w:sz w:val="22"/>
          <w:szCs w:val="22"/>
          <w:rtl/>
        </w:rPr>
        <w:instrText xml:space="preserve"> </w:instrText>
      </w:r>
      <w:r w:rsidRPr="003122A3">
        <w:rPr>
          <w:sz w:val="22"/>
          <w:szCs w:val="22"/>
        </w:rPr>
        <w:instrText>Table \* ARABIC</w:instrText>
      </w:r>
      <w:r w:rsidRPr="003122A3">
        <w:rPr>
          <w:sz w:val="22"/>
          <w:szCs w:val="22"/>
          <w:rtl/>
        </w:rPr>
        <w:instrText xml:space="preserve"> </w:instrText>
      </w:r>
      <w:r w:rsidR="008F57C8" w:rsidRPr="003122A3">
        <w:rPr>
          <w:sz w:val="22"/>
          <w:szCs w:val="22"/>
          <w:rtl/>
        </w:rPr>
        <w:fldChar w:fldCharType="separate"/>
      </w:r>
      <w:r w:rsidR="001626F1">
        <w:rPr>
          <w:sz w:val="22"/>
          <w:szCs w:val="22"/>
          <w:rtl/>
        </w:rPr>
        <w:t>16</w:t>
      </w:r>
      <w:r w:rsidR="008F57C8" w:rsidRPr="003122A3">
        <w:rPr>
          <w:sz w:val="22"/>
          <w:szCs w:val="22"/>
          <w:rtl/>
        </w:rPr>
        <w:fldChar w:fldCharType="end"/>
      </w:r>
      <w:r w:rsidRPr="003122A3">
        <w:rPr>
          <w:sz w:val="22"/>
          <w:szCs w:val="22"/>
        </w:rPr>
        <w:t>:  Percentage of Children Aged 0-59 Months Left Alone or in the Care of Children Under the Age of 10 Years During the Week Preceding the Survey by Background Characteristics, 2014</w:t>
      </w:r>
      <w:bookmarkEnd w:id="124"/>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79"/>
        <w:gridCol w:w="2479"/>
        <w:gridCol w:w="2480"/>
        <w:gridCol w:w="2480"/>
      </w:tblGrid>
      <w:tr w:rsidR="00835DA2" w:rsidRPr="003122A3" w:rsidTr="003D3155">
        <w:trPr>
          <w:trHeight w:hRule="exact" w:val="402"/>
          <w:jc w:val="center"/>
        </w:trPr>
        <w:tc>
          <w:tcPr>
            <w:tcW w:w="1250" w:type="pct"/>
            <w:vMerge w:val="restart"/>
            <w:shd w:val="clear" w:color="auto" w:fill="B8CCE4"/>
            <w:vAlign w:val="center"/>
          </w:tcPr>
          <w:p w:rsidR="00835DA2" w:rsidRPr="003122A3" w:rsidRDefault="00835DA2" w:rsidP="009A64A4">
            <w:pPr>
              <w:pStyle w:val="Heading3"/>
              <w:bidi w:val="0"/>
              <w:jc w:val="center"/>
              <w:rPr>
                <w:rFonts w:cs="Times New Roman"/>
              </w:rPr>
            </w:pPr>
            <w:r w:rsidRPr="003122A3">
              <w:rPr>
                <w:rFonts w:cs="Times New Roman"/>
              </w:rPr>
              <w:t>Background characteristics</w:t>
            </w:r>
          </w:p>
        </w:tc>
        <w:tc>
          <w:tcPr>
            <w:tcW w:w="3750" w:type="pct"/>
            <w:gridSpan w:val="3"/>
            <w:shd w:val="clear" w:color="auto" w:fill="95B3D7"/>
            <w:vAlign w:val="center"/>
          </w:tcPr>
          <w:p w:rsidR="00835DA2" w:rsidRPr="003122A3" w:rsidRDefault="00835DA2" w:rsidP="009A64A4">
            <w:pPr>
              <w:pStyle w:val="Heading3"/>
              <w:bidi w:val="0"/>
              <w:jc w:val="center"/>
              <w:rPr>
                <w:rFonts w:cs="Times New Roman"/>
              </w:rPr>
            </w:pPr>
            <w:r w:rsidRPr="003122A3">
              <w:rPr>
                <w:rFonts w:cs="Times New Roman"/>
                <w:shd w:val="clear" w:color="auto" w:fill="95B3D7"/>
              </w:rPr>
              <w:t>Percentage of children aged 0-59 months</w:t>
            </w:r>
          </w:p>
          <w:p w:rsidR="00835DA2" w:rsidRPr="003122A3" w:rsidRDefault="00835DA2" w:rsidP="0082306A">
            <w:pPr>
              <w:pStyle w:val="Heading3"/>
              <w:bidi w:val="0"/>
              <w:rPr>
                <w:rFonts w:cs="Times New Roman"/>
              </w:rPr>
            </w:pPr>
          </w:p>
        </w:tc>
      </w:tr>
      <w:tr w:rsidR="00835DA2" w:rsidRPr="003122A3" w:rsidTr="003D3155">
        <w:trPr>
          <w:trHeight w:val="724"/>
          <w:jc w:val="center"/>
        </w:trPr>
        <w:tc>
          <w:tcPr>
            <w:tcW w:w="1250" w:type="pct"/>
            <w:vMerge/>
            <w:shd w:val="clear" w:color="auto" w:fill="B8CCE4"/>
            <w:vAlign w:val="center"/>
          </w:tcPr>
          <w:p w:rsidR="00835DA2" w:rsidRPr="003122A3" w:rsidRDefault="00835DA2" w:rsidP="0082306A">
            <w:pPr>
              <w:pStyle w:val="Heading3"/>
              <w:bidi w:val="0"/>
              <w:rPr>
                <w:rFonts w:cs="Times New Roman"/>
              </w:rPr>
            </w:pPr>
          </w:p>
        </w:tc>
        <w:tc>
          <w:tcPr>
            <w:tcW w:w="1250" w:type="pct"/>
            <w:shd w:val="clear" w:color="auto" w:fill="B8CCE4"/>
          </w:tcPr>
          <w:p w:rsidR="00835DA2" w:rsidRPr="003122A3" w:rsidRDefault="00835DA2" w:rsidP="009A64A4">
            <w:pPr>
              <w:pStyle w:val="Heading3"/>
              <w:bidi w:val="0"/>
              <w:jc w:val="center"/>
              <w:rPr>
                <w:rFonts w:cs="Times New Roman"/>
              </w:rPr>
            </w:pPr>
            <w:r w:rsidRPr="003122A3">
              <w:rPr>
                <w:rFonts w:cs="Times New Roman"/>
              </w:rPr>
              <w:t>Left alone during previous week</w:t>
            </w:r>
          </w:p>
        </w:tc>
        <w:tc>
          <w:tcPr>
            <w:tcW w:w="1250" w:type="pct"/>
            <w:shd w:val="clear" w:color="auto" w:fill="B8CCE4"/>
          </w:tcPr>
          <w:p w:rsidR="00835DA2" w:rsidRPr="003122A3" w:rsidRDefault="00835DA2" w:rsidP="009A64A4">
            <w:pPr>
              <w:pStyle w:val="Heading3"/>
              <w:bidi w:val="0"/>
              <w:jc w:val="center"/>
              <w:rPr>
                <w:rFonts w:cs="Times New Roman"/>
              </w:rPr>
            </w:pPr>
            <w:r w:rsidRPr="003122A3">
              <w:rPr>
                <w:rFonts w:cs="Times New Roman"/>
              </w:rPr>
              <w:t>Left in the care of children under the age of 10 years during previous week</w:t>
            </w:r>
          </w:p>
        </w:tc>
        <w:tc>
          <w:tcPr>
            <w:tcW w:w="1250" w:type="pct"/>
            <w:shd w:val="clear" w:color="auto" w:fill="B8CCE4"/>
          </w:tcPr>
          <w:p w:rsidR="00835DA2" w:rsidRPr="003122A3" w:rsidRDefault="00835DA2" w:rsidP="009A64A4">
            <w:pPr>
              <w:pStyle w:val="Heading3"/>
              <w:bidi w:val="0"/>
              <w:jc w:val="center"/>
              <w:rPr>
                <w:rFonts w:cs="Times New Roman"/>
              </w:rPr>
            </w:pPr>
            <w:r w:rsidRPr="003122A3">
              <w:rPr>
                <w:rFonts w:cs="Times New Roman"/>
              </w:rPr>
              <w:t>Left in inadequate care during the previous week</w:t>
            </w:r>
          </w:p>
        </w:tc>
      </w:tr>
      <w:tr w:rsidR="00835DA2" w:rsidRPr="003122A3" w:rsidTr="003D3155">
        <w:trPr>
          <w:trHeight w:val="227"/>
          <w:jc w:val="center"/>
        </w:trPr>
        <w:tc>
          <w:tcPr>
            <w:tcW w:w="5000" w:type="pct"/>
            <w:gridSpan w:val="4"/>
            <w:shd w:val="clear" w:color="auto" w:fill="D9D9D9"/>
            <w:vAlign w:val="center"/>
          </w:tcPr>
          <w:p w:rsidR="00835DA2" w:rsidRPr="003122A3" w:rsidRDefault="00835DA2" w:rsidP="0082306A">
            <w:pPr>
              <w:pStyle w:val="Heading3"/>
              <w:bidi w:val="0"/>
              <w:rPr>
                <w:rFonts w:cs="Times New Roman"/>
              </w:rPr>
            </w:pPr>
            <w:r w:rsidRPr="003122A3">
              <w:rPr>
                <w:rFonts w:cs="Times New Roman"/>
              </w:rPr>
              <w:t>Region</w:t>
            </w:r>
          </w:p>
        </w:tc>
      </w:tr>
      <w:tr w:rsidR="00835DA2" w:rsidRPr="003122A3" w:rsidTr="003D3155">
        <w:trPr>
          <w:trHeight w:hRule="exact" w:val="332"/>
          <w:jc w:val="center"/>
        </w:trPr>
        <w:tc>
          <w:tcPr>
            <w:tcW w:w="1250" w:type="pct"/>
            <w:tcBorders>
              <w:bottom w:val="nil"/>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Pr>
              <w:t>Palestine</w:t>
            </w:r>
          </w:p>
        </w:tc>
        <w:tc>
          <w:tcPr>
            <w:tcW w:w="1250" w:type="pct"/>
            <w:tcBorders>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4.2</w:t>
            </w:r>
          </w:p>
        </w:tc>
        <w:tc>
          <w:tcPr>
            <w:tcW w:w="1250" w:type="pct"/>
            <w:tcBorders>
              <w:left w:val="nil"/>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11.5</w:t>
            </w:r>
          </w:p>
        </w:tc>
        <w:tc>
          <w:tcPr>
            <w:tcW w:w="1250" w:type="pct"/>
            <w:tcBorders>
              <w:left w:val="nil"/>
              <w:bottom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14.3</w:t>
            </w:r>
          </w:p>
        </w:tc>
      </w:tr>
      <w:tr w:rsidR="00835DA2" w:rsidRPr="003122A3" w:rsidTr="003D3155">
        <w:trPr>
          <w:trHeight w:hRule="exact" w:val="332"/>
          <w:jc w:val="center"/>
        </w:trPr>
        <w:tc>
          <w:tcPr>
            <w:tcW w:w="1250" w:type="pct"/>
            <w:tcBorders>
              <w:top w:val="nil"/>
              <w:bottom w:val="nil"/>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Pr>
              <w:t>West Bank</w:t>
            </w:r>
          </w:p>
        </w:tc>
        <w:tc>
          <w:tcPr>
            <w:tcW w:w="1250" w:type="pct"/>
            <w:tcBorders>
              <w:top w:val="nil"/>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4.6</w:t>
            </w:r>
          </w:p>
        </w:tc>
        <w:tc>
          <w:tcPr>
            <w:tcW w:w="1250" w:type="pct"/>
            <w:tcBorders>
              <w:top w:val="nil"/>
              <w:left w:val="nil"/>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10.4</w:t>
            </w:r>
          </w:p>
        </w:tc>
        <w:tc>
          <w:tcPr>
            <w:tcW w:w="1250" w:type="pct"/>
            <w:tcBorders>
              <w:top w:val="nil"/>
              <w:left w:val="nil"/>
              <w:bottom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13.1</w:t>
            </w:r>
          </w:p>
        </w:tc>
      </w:tr>
      <w:tr w:rsidR="00835DA2" w:rsidRPr="003122A3" w:rsidTr="003D3155">
        <w:trPr>
          <w:trHeight w:hRule="exact" w:val="332"/>
          <w:jc w:val="center"/>
        </w:trPr>
        <w:tc>
          <w:tcPr>
            <w:tcW w:w="1250" w:type="pct"/>
            <w:tcBorders>
              <w:top w:val="nil"/>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Pr>
              <w:t>Gaza Strip</w:t>
            </w:r>
          </w:p>
        </w:tc>
        <w:tc>
          <w:tcPr>
            <w:tcW w:w="1250" w:type="pct"/>
            <w:tcBorders>
              <w:top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3.6</w:t>
            </w:r>
          </w:p>
        </w:tc>
        <w:tc>
          <w:tcPr>
            <w:tcW w:w="1250" w:type="pct"/>
            <w:tcBorders>
              <w:top w:val="nil"/>
              <w:left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12.6</w:t>
            </w:r>
          </w:p>
        </w:tc>
        <w:tc>
          <w:tcPr>
            <w:tcW w:w="1250" w:type="pct"/>
            <w:tcBorders>
              <w:top w:val="nil"/>
              <w:lef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15.6</w:t>
            </w:r>
          </w:p>
        </w:tc>
      </w:tr>
      <w:tr w:rsidR="00835DA2" w:rsidRPr="003122A3" w:rsidTr="003D3155">
        <w:trPr>
          <w:trHeight w:hRule="exact" w:val="332"/>
          <w:jc w:val="center"/>
        </w:trPr>
        <w:tc>
          <w:tcPr>
            <w:tcW w:w="5000" w:type="pct"/>
            <w:gridSpan w:val="4"/>
            <w:shd w:val="clear" w:color="auto" w:fill="D9D9D9"/>
            <w:vAlign w:val="center"/>
          </w:tcPr>
          <w:p w:rsidR="00835DA2" w:rsidRPr="006940D4" w:rsidRDefault="00835DA2" w:rsidP="0082306A">
            <w:pPr>
              <w:pStyle w:val="Heading3"/>
              <w:bidi w:val="0"/>
              <w:rPr>
                <w:rFonts w:cs="Times New Roman"/>
              </w:rPr>
            </w:pPr>
            <w:r w:rsidRPr="006940D4">
              <w:rPr>
                <w:rFonts w:cs="Times New Roman"/>
              </w:rPr>
              <w:t>Type of locality</w:t>
            </w:r>
          </w:p>
        </w:tc>
      </w:tr>
      <w:tr w:rsidR="00835DA2" w:rsidRPr="003122A3" w:rsidTr="003D3155">
        <w:trPr>
          <w:trHeight w:hRule="exact" w:val="332"/>
          <w:jc w:val="center"/>
        </w:trPr>
        <w:tc>
          <w:tcPr>
            <w:tcW w:w="1250" w:type="pct"/>
            <w:tcBorders>
              <w:bottom w:val="nil"/>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Pr>
              <w:t>Urban</w:t>
            </w:r>
            <w:r w:rsidRPr="00833BD7">
              <w:rPr>
                <w:rFonts w:cs="Times New Roman"/>
                <w:b w:val="0"/>
                <w:bCs w:val="0"/>
                <w:rtl/>
              </w:rPr>
              <w:t xml:space="preserve"> </w:t>
            </w:r>
          </w:p>
        </w:tc>
        <w:tc>
          <w:tcPr>
            <w:tcW w:w="1250" w:type="pct"/>
            <w:tcBorders>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3.9</w:t>
            </w:r>
          </w:p>
        </w:tc>
        <w:tc>
          <w:tcPr>
            <w:tcW w:w="1250" w:type="pct"/>
            <w:tcBorders>
              <w:left w:val="nil"/>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11.1</w:t>
            </w:r>
          </w:p>
        </w:tc>
        <w:tc>
          <w:tcPr>
            <w:tcW w:w="1250" w:type="pct"/>
            <w:tcBorders>
              <w:left w:val="nil"/>
              <w:bottom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14.0</w:t>
            </w:r>
          </w:p>
        </w:tc>
      </w:tr>
      <w:tr w:rsidR="00835DA2" w:rsidRPr="003122A3" w:rsidTr="003D3155">
        <w:trPr>
          <w:trHeight w:hRule="exact" w:val="332"/>
          <w:jc w:val="center"/>
        </w:trPr>
        <w:tc>
          <w:tcPr>
            <w:tcW w:w="1250" w:type="pct"/>
            <w:tcBorders>
              <w:top w:val="nil"/>
              <w:bottom w:val="nil"/>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Pr>
              <w:t>Rural</w:t>
            </w:r>
          </w:p>
        </w:tc>
        <w:tc>
          <w:tcPr>
            <w:tcW w:w="1250" w:type="pct"/>
            <w:tcBorders>
              <w:top w:val="nil"/>
              <w:bottom w:val="nil"/>
              <w:right w:val="nil"/>
            </w:tcBorders>
            <w:noWrap/>
            <w:vAlign w:val="center"/>
          </w:tcPr>
          <w:p w:rsidR="00835DA2" w:rsidRPr="006940D4" w:rsidRDefault="00835DA2" w:rsidP="00431E6F">
            <w:pPr>
              <w:pStyle w:val="Heading3"/>
              <w:bidi w:val="0"/>
              <w:jc w:val="center"/>
              <w:rPr>
                <w:rFonts w:cs="Times New Roman"/>
                <w:b w:val="0"/>
                <w:bCs w:val="0"/>
              </w:rPr>
            </w:pPr>
            <w:r w:rsidRPr="006940D4">
              <w:rPr>
                <w:rFonts w:cs="Times New Roman"/>
                <w:b w:val="0"/>
                <w:bCs w:val="0"/>
              </w:rPr>
              <w:t>5.</w:t>
            </w:r>
            <w:r w:rsidR="00431E6F" w:rsidRPr="006940D4">
              <w:rPr>
                <w:rFonts w:cs="Times New Roman"/>
                <w:b w:val="0"/>
                <w:bCs w:val="0"/>
              </w:rPr>
              <w:t>2</w:t>
            </w:r>
          </w:p>
        </w:tc>
        <w:tc>
          <w:tcPr>
            <w:tcW w:w="1250" w:type="pct"/>
            <w:tcBorders>
              <w:top w:val="nil"/>
              <w:left w:val="nil"/>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12,4</w:t>
            </w:r>
          </w:p>
        </w:tc>
        <w:tc>
          <w:tcPr>
            <w:tcW w:w="1250" w:type="pct"/>
            <w:tcBorders>
              <w:top w:val="nil"/>
              <w:left w:val="nil"/>
              <w:bottom w:val="nil"/>
            </w:tcBorders>
            <w:noWrap/>
            <w:vAlign w:val="center"/>
          </w:tcPr>
          <w:p w:rsidR="00835DA2" w:rsidRPr="006940D4" w:rsidRDefault="00431E6F" w:rsidP="00431E6F">
            <w:pPr>
              <w:pStyle w:val="Heading3"/>
              <w:bidi w:val="0"/>
              <w:jc w:val="center"/>
              <w:rPr>
                <w:rFonts w:cs="Times New Roman"/>
                <w:b w:val="0"/>
                <w:bCs w:val="0"/>
              </w:rPr>
            </w:pPr>
            <w:r w:rsidRPr="006940D4">
              <w:rPr>
                <w:rFonts w:cs="Times New Roman"/>
                <w:b w:val="0"/>
                <w:bCs w:val="0"/>
              </w:rPr>
              <w:t>15</w:t>
            </w:r>
            <w:r w:rsidR="00835DA2" w:rsidRPr="006940D4">
              <w:rPr>
                <w:rFonts w:cs="Times New Roman"/>
                <w:b w:val="0"/>
                <w:bCs w:val="0"/>
              </w:rPr>
              <w:t>.</w:t>
            </w:r>
            <w:r w:rsidRPr="006940D4">
              <w:rPr>
                <w:rFonts w:cs="Times New Roman"/>
                <w:b w:val="0"/>
                <w:bCs w:val="0"/>
              </w:rPr>
              <w:t>3</w:t>
            </w:r>
          </w:p>
        </w:tc>
      </w:tr>
      <w:tr w:rsidR="00835DA2" w:rsidRPr="003122A3" w:rsidTr="003D3155">
        <w:trPr>
          <w:trHeight w:hRule="exact" w:val="332"/>
          <w:jc w:val="center"/>
        </w:trPr>
        <w:tc>
          <w:tcPr>
            <w:tcW w:w="1250" w:type="pct"/>
            <w:tcBorders>
              <w:top w:val="nil"/>
              <w:bottom w:val="single" w:sz="4" w:space="0" w:color="auto"/>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Pr>
              <w:t>Refugee camps</w:t>
            </w:r>
          </w:p>
        </w:tc>
        <w:tc>
          <w:tcPr>
            <w:tcW w:w="1250" w:type="pct"/>
            <w:tcBorders>
              <w:top w:val="nil"/>
              <w:bottom w:val="single" w:sz="4" w:space="0" w:color="auto"/>
              <w:right w:val="nil"/>
            </w:tcBorders>
            <w:noWrap/>
            <w:vAlign w:val="center"/>
          </w:tcPr>
          <w:p w:rsidR="00835DA2" w:rsidRPr="006940D4" w:rsidRDefault="00835DA2" w:rsidP="00431E6F">
            <w:pPr>
              <w:pStyle w:val="Heading3"/>
              <w:bidi w:val="0"/>
              <w:jc w:val="center"/>
              <w:rPr>
                <w:rFonts w:cs="Times New Roman"/>
                <w:b w:val="0"/>
                <w:bCs w:val="0"/>
              </w:rPr>
            </w:pPr>
            <w:r w:rsidRPr="006940D4">
              <w:rPr>
                <w:rFonts w:cs="Times New Roman"/>
                <w:b w:val="0"/>
                <w:bCs w:val="0"/>
              </w:rPr>
              <w:t>4,</w:t>
            </w:r>
            <w:r w:rsidR="00431E6F" w:rsidRPr="006940D4">
              <w:rPr>
                <w:rFonts w:cs="Times New Roman"/>
                <w:b w:val="0"/>
                <w:bCs w:val="0"/>
              </w:rPr>
              <w:t>4</w:t>
            </w:r>
          </w:p>
        </w:tc>
        <w:tc>
          <w:tcPr>
            <w:tcW w:w="1250" w:type="pct"/>
            <w:tcBorders>
              <w:top w:val="nil"/>
              <w:left w:val="nil"/>
              <w:bottom w:val="single" w:sz="4" w:space="0" w:color="auto"/>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12.5</w:t>
            </w:r>
          </w:p>
        </w:tc>
        <w:tc>
          <w:tcPr>
            <w:tcW w:w="1250" w:type="pct"/>
            <w:tcBorders>
              <w:top w:val="nil"/>
              <w:left w:val="nil"/>
              <w:bottom w:val="single" w:sz="4" w:space="0" w:color="auto"/>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14.9</w:t>
            </w:r>
          </w:p>
        </w:tc>
      </w:tr>
      <w:tr w:rsidR="00835DA2" w:rsidRPr="003122A3" w:rsidTr="003D3155">
        <w:trPr>
          <w:trHeight w:hRule="exact" w:val="332"/>
          <w:jc w:val="center"/>
        </w:trPr>
        <w:tc>
          <w:tcPr>
            <w:tcW w:w="5000" w:type="pct"/>
            <w:gridSpan w:val="4"/>
            <w:shd w:val="clear" w:color="auto" w:fill="D9D9D9"/>
            <w:vAlign w:val="center"/>
          </w:tcPr>
          <w:p w:rsidR="00835DA2" w:rsidRPr="006940D4" w:rsidRDefault="00835DA2" w:rsidP="0082306A">
            <w:pPr>
              <w:pStyle w:val="Heading3"/>
              <w:bidi w:val="0"/>
              <w:rPr>
                <w:rFonts w:cs="Times New Roman"/>
              </w:rPr>
            </w:pPr>
            <w:r w:rsidRPr="006940D4">
              <w:rPr>
                <w:rFonts w:cs="Times New Roman"/>
              </w:rPr>
              <w:t>Age in months</w:t>
            </w:r>
          </w:p>
        </w:tc>
      </w:tr>
      <w:tr w:rsidR="00835DA2" w:rsidRPr="003122A3" w:rsidTr="003D3155">
        <w:trPr>
          <w:trHeight w:hRule="exact" w:val="332"/>
          <w:jc w:val="center"/>
        </w:trPr>
        <w:tc>
          <w:tcPr>
            <w:tcW w:w="1250" w:type="pct"/>
            <w:tcBorders>
              <w:bottom w:val="nil"/>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tl/>
              </w:rPr>
              <w:t xml:space="preserve"> 23-0</w:t>
            </w:r>
          </w:p>
        </w:tc>
        <w:tc>
          <w:tcPr>
            <w:tcW w:w="1250" w:type="pct"/>
            <w:tcBorders>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3.1</w:t>
            </w:r>
          </w:p>
        </w:tc>
        <w:tc>
          <w:tcPr>
            <w:tcW w:w="1250" w:type="pct"/>
            <w:tcBorders>
              <w:left w:val="nil"/>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7.1</w:t>
            </w:r>
          </w:p>
        </w:tc>
        <w:tc>
          <w:tcPr>
            <w:tcW w:w="1250" w:type="pct"/>
            <w:tcBorders>
              <w:left w:val="nil"/>
              <w:bottom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9.4</w:t>
            </w:r>
          </w:p>
        </w:tc>
      </w:tr>
      <w:tr w:rsidR="00835DA2" w:rsidRPr="003122A3" w:rsidTr="003D3155">
        <w:trPr>
          <w:trHeight w:hRule="exact" w:val="332"/>
          <w:jc w:val="center"/>
        </w:trPr>
        <w:tc>
          <w:tcPr>
            <w:tcW w:w="1250" w:type="pct"/>
            <w:tcBorders>
              <w:top w:val="nil"/>
              <w:bottom w:val="single" w:sz="4" w:space="0" w:color="auto"/>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tl/>
              </w:rPr>
              <w:t xml:space="preserve"> 59-24</w:t>
            </w:r>
          </w:p>
        </w:tc>
        <w:tc>
          <w:tcPr>
            <w:tcW w:w="1250" w:type="pct"/>
            <w:tcBorders>
              <w:top w:val="nil"/>
              <w:bottom w:val="single" w:sz="4" w:space="0" w:color="auto"/>
              <w:right w:val="nil"/>
            </w:tcBorders>
            <w:noWrap/>
            <w:vAlign w:val="center"/>
          </w:tcPr>
          <w:p w:rsidR="00835DA2" w:rsidRPr="006940D4" w:rsidRDefault="00431E6F" w:rsidP="00431E6F">
            <w:pPr>
              <w:pStyle w:val="Heading3"/>
              <w:bidi w:val="0"/>
              <w:jc w:val="center"/>
              <w:rPr>
                <w:rFonts w:cs="Times New Roman"/>
                <w:b w:val="0"/>
                <w:bCs w:val="0"/>
              </w:rPr>
            </w:pPr>
            <w:r w:rsidRPr="006940D4">
              <w:rPr>
                <w:rFonts w:cs="Times New Roman"/>
                <w:b w:val="0"/>
                <w:bCs w:val="0"/>
              </w:rPr>
              <w:t>4</w:t>
            </w:r>
            <w:r w:rsidR="00835DA2" w:rsidRPr="006940D4">
              <w:rPr>
                <w:rFonts w:cs="Times New Roman"/>
                <w:b w:val="0"/>
                <w:bCs w:val="0"/>
              </w:rPr>
              <w:t>.</w:t>
            </w:r>
            <w:r w:rsidRPr="006940D4">
              <w:rPr>
                <w:rFonts w:cs="Times New Roman"/>
                <w:b w:val="0"/>
                <w:bCs w:val="0"/>
              </w:rPr>
              <w:t>9</w:t>
            </w:r>
          </w:p>
        </w:tc>
        <w:tc>
          <w:tcPr>
            <w:tcW w:w="1250" w:type="pct"/>
            <w:tcBorders>
              <w:top w:val="nil"/>
              <w:left w:val="nil"/>
              <w:bottom w:val="single" w:sz="4" w:space="0" w:color="auto"/>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14.2</w:t>
            </w:r>
          </w:p>
        </w:tc>
        <w:tc>
          <w:tcPr>
            <w:tcW w:w="1250" w:type="pct"/>
            <w:tcBorders>
              <w:top w:val="nil"/>
              <w:left w:val="nil"/>
              <w:bottom w:val="single" w:sz="4" w:space="0" w:color="auto"/>
            </w:tcBorders>
            <w:noWrap/>
            <w:vAlign w:val="center"/>
          </w:tcPr>
          <w:p w:rsidR="00835DA2" w:rsidRPr="006940D4" w:rsidRDefault="00431E6F" w:rsidP="00431E6F">
            <w:pPr>
              <w:pStyle w:val="Heading3"/>
              <w:bidi w:val="0"/>
              <w:jc w:val="center"/>
              <w:rPr>
                <w:rFonts w:cs="Times New Roman"/>
                <w:b w:val="0"/>
                <w:bCs w:val="0"/>
              </w:rPr>
            </w:pPr>
            <w:r w:rsidRPr="006940D4">
              <w:rPr>
                <w:rFonts w:cs="Times New Roman"/>
                <w:b w:val="0"/>
                <w:bCs w:val="0"/>
              </w:rPr>
              <w:t>17</w:t>
            </w:r>
            <w:r w:rsidR="00835DA2" w:rsidRPr="006940D4">
              <w:rPr>
                <w:rFonts w:cs="Times New Roman"/>
                <w:b w:val="0"/>
                <w:bCs w:val="0"/>
              </w:rPr>
              <w:t>.</w:t>
            </w:r>
            <w:r w:rsidRPr="006940D4">
              <w:rPr>
                <w:rFonts w:cs="Times New Roman"/>
                <w:b w:val="0"/>
                <w:bCs w:val="0"/>
              </w:rPr>
              <w:t>3</w:t>
            </w:r>
          </w:p>
        </w:tc>
      </w:tr>
      <w:tr w:rsidR="00835DA2" w:rsidRPr="003122A3" w:rsidTr="003D3155">
        <w:trPr>
          <w:trHeight w:val="352"/>
          <w:jc w:val="center"/>
        </w:trPr>
        <w:tc>
          <w:tcPr>
            <w:tcW w:w="5000" w:type="pct"/>
            <w:gridSpan w:val="4"/>
            <w:shd w:val="clear" w:color="auto" w:fill="D9D9D9"/>
            <w:vAlign w:val="center"/>
          </w:tcPr>
          <w:p w:rsidR="00835DA2" w:rsidRPr="006940D4" w:rsidRDefault="00835DA2" w:rsidP="0082306A">
            <w:pPr>
              <w:pStyle w:val="Heading3"/>
              <w:bidi w:val="0"/>
              <w:rPr>
                <w:rFonts w:cs="Times New Roman"/>
              </w:rPr>
            </w:pPr>
            <w:r w:rsidRPr="006940D4">
              <w:rPr>
                <w:rFonts w:cs="Times New Roman"/>
              </w:rPr>
              <w:t>Sex</w:t>
            </w:r>
          </w:p>
        </w:tc>
      </w:tr>
      <w:tr w:rsidR="00835DA2" w:rsidRPr="003122A3" w:rsidTr="003D3155">
        <w:trPr>
          <w:trHeight w:val="208"/>
          <w:jc w:val="center"/>
        </w:trPr>
        <w:tc>
          <w:tcPr>
            <w:tcW w:w="1250" w:type="pct"/>
            <w:tcBorders>
              <w:bottom w:val="nil"/>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Pr>
              <w:t>Male</w:t>
            </w:r>
          </w:p>
        </w:tc>
        <w:tc>
          <w:tcPr>
            <w:tcW w:w="1250" w:type="pct"/>
            <w:tcBorders>
              <w:bottom w:val="nil"/>
              <w:right w:val="nil"/>
            </w:tcBorders>
            <w:noWrap/>
            <w:vAlign w:val="center"/>
          </w:tcPr>
          <w:p w:rsidR="00835DA2" w:rsidRPr="006940D4" w:rsidRDefault="00835DA2" w:rsidP="00431E6F">
            <w:pPr>
              <w:pStyle w:val="Heading3"/>
              <w:bidi w:val="0"/>
              <w:jc w:val="center"/>
              <w:rPr>
                <w:rFonts w:cs="Times New Roman"/>
                <w:b w:val="0"/>
                <w:bCs w:val="0"/>
              </w:rPr>
            </w:pPr>
            <w:r w:rsidRPr="006940D4">
              <w:rPr>
                <w:rFonts w:cs="Times New Roman"/>
                <w:b w:val="0"/>
                <w:bCs w:val="0"/>
              </w:rPr>
              <w:t>3.</w:t>
            </w:r>
            <w:r w:rsidR="00431E6F" w:rsidRPr="006940D4">
              <w:rPr>
                <w:rFonts w:cs="Times New Roman"/>
                <w:b w:val="0"/>
                <w:bCs w:val="0"/>
              </w:rPr>
              <w:t>8</w:t>
            </w:r>
          </w:p>
        </w:tc>
        <w:tc>
          <w:tcPr>
            <w:tcW w:w="1250" w:type="pct"/>
            <w:tcBorders>
              <w:left w:val="nil"/>
              <w:bottom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11.1</w:t>
            </w:r>
          </w:p>
        </w:tc>
        <w:tc>
          <w:tcPr>
            <w:tcW w:w="1250" w:type="pct"/>
            <w:tcBorders>
              <w:left w:val="nil"/>
              <w:bottom w:val="nil"/>
            </w:tcBorders>
            <w:noWrap/>
            <w:vAlign w:val="center"/>
          </w:tcPr>
          <w:p w:rsidR="00835DA2" w:rsidRPr="006940D4" w:rsidRDefault="00431E6F" w:rsidP="00431E6F">
            <w:pPr>
              <w:pStyle w:val="Heading3"/>
              <w:bidi w:val="0"/>
              <w:jc w:val="center"/>
              <w:rPr>
                <w:rFonts w:cs="Times New Roman"/>
                <w:b w:val="0"/>
                <w:bCs w:val="0"/>
              </w:rPr>
            </w:pPr>
            <w:r w:rsidRPr="006940D4">
              <w:rPr>
                <w:rFonts w:cs="Times New Roman"/>
                <w:b w:val="0"/>
                <w:bCs w:val="0"/>
              </w:rPr>
              <w:t>1</w:t>
            </w:r>
            <w:r w:rsidR="00835DA2" w:rsidRPr="006940D4">
              <w:rPr>
                <w:rFonts w:cs="Times New Roman"/>
                <w:b w:val="0"/>
                <w:bCs w:val="0"/>
              </w:rPr>
              <w:t>3.</w:t>
            </w:r>
            <w:r w:rsidRPr="006940D4">
              <w:rPr>
                <w:rFonts w:cs="Times New Roman"/>
                <w:b w:val="0"/>
                <w:bCs w:val="0"/>
              </w:rPr>
              <w:t>5</w:t>
            </w:r>
          </w:p>
        </w:tc>
      </w:tr>
      <w:tr w:rsidR="00835DA2" w:rsidRPr="003122A3" w:rsidTr="003D3155">
        <w:trPr>
          <w:trHeight w:val="196"/>
          <w:jc w:val="center"/>
        </w:trPr>
        <w:tc>
          <w:tcPr>
            <w:tcW w:w="1250" w:type="pct"/>
            <w:tcBorders>
              <w:top w:val="nil"/>
            </w:tcBorders>
            <w:shd w:val="clear" w:color="auto" w:fill="B8CCE4"/>
            <w:vAlign w:val="center"/>
          </w:tcPr>
          <w:p w:rsidR="00835DA2" w:rsidRPr="00833BD7" w:rsidRDefault="00835DA2" w:rsidP="0082306A">
            <w:pPr>
              <w:pStyle w:val="Heading3"/>
              <w:bidi w:val="0"/>
              <w:rPr>
                <w:rFonts w:cs="Times New Roman"/>
                <w:b w:val="0"/>
                <w:bCs w:val="0"/>
              </w:rPr>
            </w:pPr>
            <w:r w:rsidRPr="00833BD7">
              <w:rPr>
                <w:rFonts w:cs="Times New Roman"/>
                <w:b w:val="0"/>
                <w:bCs w:val="0"/>
              </w:rPr>
              <w:t>Female</w:t>
            </w:r>
          </w:p>
        </w:tc>
        <w:tc>
          <w:tcPr>
            <w:tcW w:w="1250" w:type="pct"/>
            <w:tcBorders>
              <w:top w:val="nil"/>
              <w:right w:val="nil"/>
            </w:tcBorders>
            <w:noWrap/>
            <w:vAlign w:val="center"/>
          </w:tcPr>
          <w:p w:rsidR="00835DA2" w:rsidRPr="006940D4" w:rsidRDefault="00431E6F" w:rsidP="00431E6F">
            <w:pPr>
              <w:pStyle w:val="Heading3"/>
              <w:bidi w:val="0"/>
              <w:jc w:val="center"/>
              <w:rPr>
                <w:rFonts w:cs="Times New Roman"/>
                <w:b w:val="0"/>
                <w:bCs w:val="0"/>
                <w:rtl/>
              </w:rPr>
            </w:pPr>
            <w:r w:rsidRPr="006940D4">
              <w:rPr>
                <w:rFonts w:cs="Times New Roman"/>
                <w:b w:val="0"/>
                <w:bCs w:val="0"/>
              </w:rPr>
              <w:t>4</w:t>
            </w:r>
            <w:r w:rsidR="00835DA2" w:rsidRPr="006940D4">
              <w:rPr>
                <w:rFonts w:cs="Times New Roman"/>
                <w:b w:val="0"/>
                <w:bCs w:val="0"/>
              </w:rPr>
              <w:t>.</w:t>
            </w:r>
            <w:r w:rsidRPr="006940D4">
              <w:rPr>
                <w:rFonts w:cs="Times New Roman"/>
                <w:b w:val="0"/>
                <w:bCs w:val="0"/>
              </w:rPr>
              <w:t>5</w:t>
            </w:r>
          </w:p>
        </w:tc>
        <w:tc>
          <w:tcPr>
            <w:tcW w:w="1250" w:type="pct"/>
            <w:tcBorders>
              <w:top w:val="nil"/>
              <w:left w:val="nil"/>
              <w:right w:val="nil"/>
            </w:tcBorders>
            <w:noWrap/>
            <w:vAlign w:val="center"/>
          </w:tcPr>
          <w:p w:rsidR="00835DA2" w:rsidRPr="006940D4" w:rsidRDefault="00835DA2" w:rsidP="00846290">
            <w:pPr>
              <w:pStyle w:val="Heading3"/>
              <w:bidi w:val="0"/>
              <w:jc w:val="center"/>
              <w:rPr>
                <w:rFonts w:cs="Times New Roman"/>
                <w:b w:val="0"/>
                <w:bCs w:val="0"/>
              </w:rPr>
            </w:pPr>
            <w:r w:rsidRPr="006940D4">
              <w:rPr>
                <w:rFonts w:cs="Times New Roman"/>
                <w:b w:val="0"/>
                <w:bCs w:val="0"/>
              </w:rPr>
              <w:t>11.8</w:t>
            </w:r>
          </w:p>
        </w:tc>
        <w:tc>
          <w:tcPr>
            <w:tcW w:w="1250" w:type="pct"/>
            <w:tcBorders>
              <w:top w:val="nil"/>
              <w:left w:val="nil"/>
            </w:tcBorders>
            <w:noWrap/>
            <w:vAlign w:val="center"/>
          </w:tcPr>
          <w:p w:rsidR="00835DA2" w:rsidRPr="006940D4" w:rsidRDefault="00431E6F" w:rsidP="00431E6F">
            <w:pPr>
              <w:pStyle w:val="Heading3"/>
              <w:bidi w:val="0"/>
              <w:jc w:val="center"/>
              <w:rPr>
                <w:rFonts w:cs="Times New Roman"/>
                <w:b w:val="0"/>
                <w:bCs w:val="0"/>
              </w:rPr>
            </w:pPr>
            <w:r w:rsidRPr="006940D4">
              <w:rPr>
                <w:rFonts w:cs="Times New Roman"/>
                <w:b w:val="0"/>
                <w:bCs w:val="0"/>
              </w:rPr>
              <w:t>15</w:t>
            </w:r>
            <w:r w:rsidR="00835DA2" w:rsidRPr="006940D4">
              <w:rPr>
                <w:rFonts w:cs="Times New Roman"/>
                <w:b w:val="0"/>
                <w:bCs w:val="0"/>
              </w:rPr>
              <w:t>.</w:t>
            </w:r>
            <w:r w:rsidRPr="006940D4">
              <w:rPr>
                <w:rFonts w:cs="Times New Roman"/>
                <w:b w:val="0"/>
                <w:bCs w:val="0"/>
              </w:rPr>
              <w:t>1</w:t>
            </w:r>
          </w:p>
        </w:tc>
      </w:tr>
    </w:tbl>
    <w:p w:rsidR="0019293A" w:rsidRPr="003122A3" w:rsidRDefault="00835DA2" w:rsidP="00431E6F">
      <w:pPr>
        <w:jc w:val="both"/>
        <w:rPr>
          <w:rFonts w:ascii="Times New Roman" w:hAnsi="Times New Roman" w:cs="Times New Roman"/>
          <w:iCs/>
          <w:sz w:val="18"/>
          <w:szCs w:val="18"/>
          <w:rtl/>
        </w:rPr>
      </w:pPr>
      <w:r w:rsidRPr="003122A3">
        <w:rPr>
          <w:rFonts w:ascii="Times New Roman" w:hAnsi="Times New Roman" w:cs="Times New Roman"/>
          <w:iCs/>
          <w:sz w:val="18"/>
          <w:szCs w:val="18"/>
        </w:rPr>
        <w:t xml:space="preserve">Source: Palestinian Central Bureau of Statistics. </w:t>
      </w:r>
      <w:r w:rsidR="00431E6F" w:rsidRPr="003122A3">
        <w:rPr>
          <w:rFonts w:ascii="Times New Roman" w:hAnsi="Times New Roman" w:cs="Times New Roman"/>
          <w:iCs/>
          <w:sz w:val="18"/>
          <w:szCs w:val="18"/>
        </w:rPr>
        <w:t>PMICS</w:t>
      </w:r>
      <w:r w:rsidRPr="003122A3">
        <w:rPr>
          <w:rFonts w:ascii="Times New Roman" w:hAnsi="Times New Roman" w:cs="Times New Roman"/>
          <w:iCs/>
          <w:sz w:val="18"/>
          <w:szCs w:val="18"/>
        </w:rPr>
        <w:t>,201</w:t>
      </w:r>
      <w:r w:rsidR="00431E6F" w:rsidRPr="003122A3">
        <w:rPr>
          <w:rFonts w:ascii="Times New Roman" w:hAnsi="Times New Roman" w:cs="Times New Roman"/>
          <w:iCs/>
          <w:sz w:val="18"/>
          <w:szCs w:val="18"/>
        </w:rPr>
        <w:t>4</w:t>
      </w:r>
      <w:r w:rsidRPr="003122A3">
        <w:rPr>
          <w:rFonts w:ascii="Times New Roman" w:hAnsi="Times New Roman" w:cs="Times New Roman"/>
          <w:iCs/>
          <w:sz w:val="18"/>
          <w:szCs w:val="18"/>
        </w:rPr>
        <w:t xml:space="preserve">. Main Report.  </w:t>
      </w:r>
      <w:r w:rsidRPr="003122A3">
        <w:rPr>
          <w:rFonts w:ascii="Times New Roman" w:hAnsi="Times New Roman" w:cs="Times New Roman"/>
          <w:sz w:val="18"/>
          <w:szCs w:val="18"/>
        </w:rPr>
        <w:t>Ramallah-Palestine</w:t>
      </w:r>
      <w:r w:rsidRPr="003122A3">
        <w:rPr>
          <w:rFonts w:ascii="Times New Roman" w:hAnsi="Times New Roman" w:cs="Times New Roman"/>
          <w:iCs/>
          <w:sz w:val="18"/>
          <w:szCs w:val="18"/>
        </w:rPr>
        <w:t xml:space="preserve"> </w:t>
      </w:r>
    </w:p>
    <w:sectPr w:rsidR="0019293A" w:rsidRPr="003122A3" w:rsidSect="00B65486">
      <w:footerReference w:type="default" r:id="rId86"/>
      <w:footerReference w:type="first" r:id="rId87"/>
      <w:pgSz w:w="11909" w:h="16834" w:code="9"/>
      <w:pgMar w:top="1418" w:right="852" w:bottom="1418" w:left="1418" w:header="720" w:footer="720" w:gutter="0"/>
      <w:pgNumType w:start="21"/>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B3AED" w15:done="0"/>
  <w15:commentEx w15:paraId="060024EE" w15:done="0"/>
  <w15:commentEx w15:paraId="1AD0979E" w15:done="0"/>
  <w15:commentEx w15:paraId="1AD8743E" w15:done="0"/>
  <w15:commentEx w15:paraId="0F67EE1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2A81" w:rsidRDefault="00212A81" w:rsidP="00EA5BE7">
      <w:pPr>
        <w:spacing w:after="0" w:line="240" w:lineRule="auto"/>
      </w:pPr>
      <w:r>
        <w:separator/>
      </w:r>
    </w:p>
  </w:endnote>
  <w:endnote w:type="continuationSeparator" w:id="0">
    <w:p w:rsidR="00212A81" w:rsidRDefault="00212A81" w:rsidP="00EA5B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7F5C" w:rsidRDefault="00087F5C" w:rsidP="00570C86">
    <w:pPr>
      <w:pStyle w:val="Footer"/>
      <w:jc w:val="center"/>
    </w:pPr>
  </w:p>
  <w:p w:rsidR="00087F5C" w:rsidRDefault="00087F5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7F5C" w:rsidRDefault="00087F5C" w:rsidP="005237B5">
    <w:pPr>
      <w:pStyle w:val="Footer"/>
    </w:pPr>
  </w:p>
  <w:p w:rsidR="00087F5C" w:rsidRDefault="00087F5C">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8773014"/>
      <w:docPartObj>
        <w:docPartGallery w:val="Page Numbers (Bottom of Page)"/>
        <w:docPartUnique/>
      </w:docPartObj>
    </w:sdtPr>
    <w:sdtContent>
      <w:p w:rsidR="00087F5C" w:rsidRDefault="008F57C8">
        <w:pPr>
          <w:pStyle w:val="Footer"/>
          <w:jc w:val="center"/>
        </w:pPr>
        <w:r w:rsidRPr="00725145">
          <w:rPr>
            <w:sz w:val="20"/>
            <w:szCs w:val="20"/>
          </w:rPr>
          <w:fldChar w:fldCharType="begin"/>
        </w:r>
        <w:r w:rsidR="00087F5C" w:rsidRPr="00725145">
          <w:rPr>
            <w:sz w:val="20"/>
            <w:szCs w:val="20"/>
          </w:rPr>
          <w:instrText xml:space="preserve"> PAGE   \* MERGEFORMAT </w:instrText>
        </w:r>
        <w:r w:rsidRPr="00725145">
          <w:rPr>
            <w:sz w:val="20"/>
            <w:szCs w:val="20"/>
          </w:rPr>
          <w:fldChar w:fldCharType="separate"/>
        </w:r>
        <w:r w:rsidR="00172551">
          <w:rPr>
            <w:noProof/>
            <w:sz w:val="20"/>
            <w:szCs w:val="20"/>
            <w:rtl/>
          </w:rPr>
          <w:t>90</w:t>
        </w:r>
        <w:r w:rsidRPr="00725145">
          <w:rPr>
            <w:sz w:val="20"/>
            <w:szCs w:val="20"/>
          </w:rPr>
          <w:fldChar w:fldCharType="end"/>
        </w:r>
      </w:p>
    </w:sdtContent>
  </w:sdt>
  <w:p w:rsidR="00087F5C" w:rsidRDefault="00087F5C" w:rsidP="00725145">
    <w:pPr>
      <w:pStyle w:val="Footer"/>
      <w:tabs>
        <w:tab w:val="clear" w:pos="4320"/>
        <w:tab w:val="clear" w:pos="8640"/>
        <w:tab w:val="left" w:pos="4994"/>
      </w:tabs>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tl/>
      </w:rPr>
      <w:id w:val="18773009"/>
      <w:docPartObj>
        <w:docPartGallery w:val="Page Numbers (Bottom of Page)"/>
        <w:docPartUnique/>
      </w:docPartObj>
    </w:sdtPr>
    <w:sdtContent>
      <w:p w:rsidR="00087F5C" w:rsidRPr="00725145" w:rsidRDefault="008F57C8">
        <w:pPr>
          <w:pStyle w:val="Footer"/>
          <w:jc w:val="center"/>
          <w:rPr>
            <w:sz w:val="20"/>
            <w:szCs w:val="20"/>
          </w:rPr>
        </w:pPr>
        <w:r w:rsidRPr="00725145">
          <w:rPr>
            <w:sz w:val="20"/>
            <w:szCs w:val="20"/>
          </w:rPr>
          <w:fldChar w:fldCharType="begin"/>
        </w:r>
        <w:r w:rsidR="00087F5C" w:rsidRPr="00725145">
          <w:rPr>
            <w:sz w:val="20"/>
            <w:szCs w:val="20"/>
          </w:rPr>
          <w:instrText xml:space="preserve"> PAGE   \* MERGEFORMAT </w:instrText>
        </w:r>
        <w:r w:rsidRPr="00725145">
          <w:rPr>
            <w:sz w:val="20"/>
            <w:szCs w:val="20"/>
          </w:rPr>
          <w:fldChar w:fldCharType="separate"/>
        </w:r>
        <w:r w:rsidR="00087F5C">
          <w:rPr>
            <w:noProof/>
            <w:sz w:val="20"/>
            <w:szCs w:val="20"/>
            <w:rtl/>
          </w:rPr>
          <w:t>21</w:t>
        </w:r>
        <w:r w:rsidRPr="00725145">
          <w:rPr>
            <w:sz w:val="20"/>
            <w:szCs w:val="20"/>
          </w:rPr>
          <w:fldChar w:fldCharType="end"/>
        </w:r>
      </w:p>
    </w:sdtContent>
  </w:sdt>
  <w:p w:rsidR="00087F5C" w:rsidRDefault="00087F5C">
    <w:pPr>
      <w:pStyle w:val="Foo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2A81" w:rsidRDefault="00212A81" w:rsidP="00EA5BE7">
      <w:pPr>
        <w:spacing w:after="0" w:line="240" w:lineRule="auto"/>
      </w:pPr>
      <w:r>
        <w:separator/>
      </w:r>
    </w:p>
  </w:footnote>
  <w:footnote w:type="continuationSeparator" w:id="0">
    <w:p w:rsidR="00212A81" w:rsidRDefault="00212A81" w:rsidP="00EA5BE7">
      <w:pPr>
        <w:spacing w:after="0" w:line="240" w:lineRule="auto"/>
      </w:pPr>
      <w:r>
        <w:continuationSeparator/>
      </w:r>
    </w:p>
  </w:footnote>
  <w:footnote w:id="1">
    <w:p w:rsidR="00087F5C" w:rsidRPr="004C2C94" w:rsidRDefault="00087F5C" w:rsidP="00587572">
      <w:pPr>
        <w:pStyle w:val="FootnoteText"/>
        <w:rPr>
          <w:rFonts w:ascii="Times New Roman" w:hAnsi="Times New Roman"/>
          <w:sz w:val="18"/>
          <w:szCs w:val="18"/>
          <w:rtl/>
          <w:lang w:bidi="ar-JO"/>
        </w:rPr>
      </w:pPr>
      <w:r w:rsidRPr="00BD726B">
        <w:rPr>
          <w:rStyle w:val="FootnoteReference"/>
          <w:rFonts w:ascii="Times New Roman" w:hAnsi="Times New Roman"/>
        </w:rPr>
        <w:footnoteRef/>
      </w:r>
      <w:r w:rsidRPr="00BD726B">
        <w:rPr>
          <w:rFonts w:ascii="Times New Roman" w:hAnsi="Times New Roman"/>
          <w:rtl/>
        </w:rPr>
        <w:t xml:space="preserve"> </w:t>
      </w:r>
      <w:r w:rsidRPr="004C2C94">
        <w:rPr>
          <w:rFonts w:ascii="Times New Roman" w:hAnsi="Times New Roman"/>
          <w:sz w:val="18"/>
          <w:szCs w:val="18"/>
          <w:lang w:bidi="ar-JO"/>
        </w:rPr>
        <w:t>Palestinian Central Bureau of Statistics</w:t>
      </w:r>
      <w:r>
        <w:rPr>
          <w:rFonts w:ascii="Times New Roman" w:hAnsi="Times New Roman"/>
          <w:sz w:val="18"/>
          <w:szCs w:val="18"/>
          <w:lang w:bidi="ar-JO"/>
        </w:rPr>
        <w:t>,</w:t>
      </w:r>
      <w:r w:rsidRPr="004C2C94">
        <w:rPr>
          <w:rFonts w:ascii="Times New Roman" w:hAnsi="Times New Roman"/>
          <w:sz w:val="18"/>
          <w:szCs w:val="18"/>
          <w:lang w:bidi="ar-JO"/>
        </w:rPr>
        <w:t xml:space="preserve"> 201</w:t>
      </w:r>
      <w:r>
        <w:rPr>
          <w:rFonts w:ascii="Times New Roman" w:hAnsi="Times New Roman"/>
          <w:sz w:val="18"/>
          <w:szCs w:val="18"/>
          <w:lang w:bidi="ar-JO"/>
        </w:rPr>
        <w:t>5</w:t>
      </w:r>
      <w:r w:rsidRPr="004C2C94">
        <w:rPr>
          <w:rFonts w:ascii="Times New Roman" w:hAnsi="Times New Roman"/>
          <w:sz w:val="18"/>
          <w:szCs w:val="18"/>
          <w:lang w:bidi="ar-JO"/>
        </w:rPr>
        <w:t>. General Statistics Law No. 4 of 2000</w:t>
      </w:r>
      <w:r>
        <w:rPr>
          <w:rFonts w:ascii="Times New Roman" w:hAnsi="Times New Roman"/>
          <w:sz w:val="18"/>
          <w:szCs w:val="18"/>
          <w:lang w:bidi="ar-JO"/>
        </w:rPr>
        <w:t>.</w:t>
      </w:r>
    </w:p>
    <w:p w:rsidR="00087F5C" w:rsidRPr="00BD726B" w:rsidRDefault="00087F5C" w:rsidP="00A73BA6">
      <w:pPr>
        <w:pStyle w:val="FootnoteText"/>
        <w:rPr>
          <w:rFonts w:ascii="Times New Roman" w:hAnsi="Times New Roman"/>
          <w:rtl/>
          <w:lang w:bidi="ar-JO"/>
        </w:rPr>
      </w:pPr>
      <w:r w:rsidRPr="004C2C94">
        <w:rPr>
          <w:rFonts w:ascii="Times New Roman" w:hAnsi="Times New Roman"/>
          <w:sz w:val="18"/>
          <w:szCs w:val="18"/>
          <w:rtl/>
          <w:lang w:bidi="ar-JO"/>
        </w:rPr>
        <w:t>  </w:t>
      </w:r>
      <w:r w:rsidRPr="00171027">
        <w:rPr>
          <w:rFonts w:ascii="Times New Roman" w:hAnsi="Times New Roman"/>
          <w:color w:val="FFFFFF" w:themeColor="background1"/>
          <w:sz w:val="18"/>
          <w:szCs w:val="18"/>
          <w:lang w:bidi="ar-JO"/>
        </w:rPr>
        <w:t>Palestinian Central Bureau of Statistics, 2012. Indicators of the Rights of the Palestinian child, 2012.  Ramallah – Palestine</w:t>
      </w:r>
      <w:r>
        <w:rPr>
          <w:rFonts w:ascii="Times New Roman" w:hAnsi="Times New Roman"/>
          <w:sz w:val="18"/>
          <w:szCs w:val="18"/>
          <w:lang w:bidi="ar-JO"/>
        </w:rPr>
        <w:t>.</w:t>
      </w:r>
    </w:p>
  </w:footnote>
  <w:footnote w:id="2">
    <w:p w:rsidR="00087F5C" w:rsidRDefault="00087F5C" w:rsidP="00F8478C">
      <w:pPr>
        <w:pStyle w:val="FootnoteText"/>
        <w:rPr>
          <w:rtl/>
        </w:rPr>
      </w:pPr>
      <w:r w:rsidRPr="0013165D">
        <w:rPr>
          <w:vertAlign w:val="superscript"/>
        </w:rPr>
        <w:t>2</w:t>
      </w:r>
      <w:r>
        <w:t xml:space="preserve"> </w:t>
      </w:r>
      <w:r>
        <w:rPr>
          <w:rFonts w:ascii="Times New Roman" w:hAnsi="Times New Roman" w:cs="Times New Roman"/>
          <w:sz w:val="18"/>
          <w:szCs w:val="18"/>
        </w:rPr>
        <w:t>P</w:t>
      </w:r>
      <w:r w:rsidRPr="00E22B83">
        <w:rPr>
          <w:rFonts w:ascii="Times New Roman" w:hAnsi="Times New Roman" w:cs="Times New Roman"/>
          <w:sz w:val="18"/>
          <w:szCs w:val="18"/>
        </w:rPr>
        <w:t xml:space="preserve">lans and policies </w:t>
      </w:r>
      <w:r>
        <w:rPr>
          <w:rFonts w:ascii="Times New Roman" w:hAnsi="Times New Roman" w:cs="Times New Roman"/>
          <w:sz w:val="18"/>
          <w:szCs w:val="18"/>
        </w:rPr>
        <w:t>are also available on the w</w:t>
      </w:r>
      <w:r w:rsidRPr="00E22B83">
        <w:rPr>
          <w:rFonts w:ascii="Times New Roman" w:hAnsi="Times New Roman" w:cs="Times New Roman"/>
          <w:sz w:val="18"/>
          <w:szCs w:val="18"/>
        </w:rPr>
        <w:t>ebsite</w:t>
      </w:r>
      <w:r>
        <w:rPr>
          <w:rFonts w:ascii="Times New Roman" w:hAnsi="Times New Roman" w:cs="Times New Roman"/>
          <w:sz w:val="18"/>
          <w:szCs w:val="18"/>
        </w:rPr>
        <w:t>s</w:t>
      </w:r>
      <w:r w:rsidRPr="00E22B83">
        <w:rPr>
          <w:rFonts w:ascii="Times New Roman" w:hAnsi="Times New Roman" w:cs="Times New Roman"/>
          <w:sz w:val="18"/>
          <w:szCs w:val="18"/>
        </w:rPr>
        <w:t xml:space="preserve"> of the Palestinian Ministry of Health and Ministry of Education</w:t>
      </w:r>
      <w:r>
        <w:rPr>
          <w:rFonts w:ascii="Times New Roman" w:hAnsi="Times New Roman" w:cs="Times New Roman"/>
          <w:sz w:val="18"/>
          <w:szCs w:val="18"/>
        </w:rPr>
        <w:t>:</w:t>
      </w:r>
      <w:r w:rsidRPr="00E22B83">
        <w:rPr>
          <w:rFonts w:ascii="Times New Roman" w:hAnsi="Times New Roman" w:cs="Times New Roman"/>
          <w:sz w:val="18"/>
          <w:szCs w:val="18"/>
        </w:rPr>
        <w:t xml:space="preserve"> http://www.ldf.ps</w:t>
      </w:r>
    </w:p>
  </w:footnote>
  <w:footnote w:id="3">
    <w:p w:rsidR="00087F5C" w:rsidRPr="00DD1554" w:rsidRDefault="00087F5C" w:rsidP="006479E3">
      <w:pPr>
        <w:pStyle w:val="FootnoteText"/>
        <w:rPr>
          <w:rFonts w:ascii="Times New Roman" w:hAnsi="Times New Roman"/>
          <w:sz w:val="18"/>
          <w:szCs w:val="18"/>
          <w:lang w:val="fr-FR"/>
        </w:rPr>
      </w:pPr>
      <w:r w:rsidRPr="00DD1554">
        <w:rPr>
          <w:rStyle w:val="FootnoteReference"/>
          <w:rFonts w:ascii="Times New Roman" w:hAnsi="Times New Roman"/>
          <w:sz w:val="18"/>
          <w:szCs w:val="18"/>
        </w:rPr>
        <w:footnoteRef/>
      </w:r>
      <w:r w:rsidRPr="00DD1554">
        <w:rPr>
          <w:rFonts w:ascii="Times New Roman" w:hAnsi="Times New Roman"/>
          <w:sz w:val="18"/>
          <w:szCs w:val="18"/>
          <w:rtl/>
        </w:rPr>
        <w:t xml:space="preserve"> </w:t>
      </w:r>
      <w:r w:rsidRPr="00DD1554">
        <w:rPr>
          <w:rFonts w:ascii="Times New Roman" w:hAnsi="Times New Roman"/>
          <w:sz w:val="18"/>
          <w:szCs w:val="18"/>
          <w:lang w:val="fr-FR"/>
        </w:rPr>
        <w:t>www.btselem.org/arabic/jerusalem</w:t>
      </w:r>
    </w:p>
  </w:footnote>
  <w:footnote w:id="4">
    <w:p w:rsidR="00087F5C" w:rsidRPr="00DD1554" w:rsidRDefault="00087F5C" w:rsidP="006479E3">
      <w:pPr>
        <w:pStyle w:val="FootnoteText"/>
        <w:rPr>
          <w:rFonts w:ascii="Times New Roman" w:hAnsi="Times New Roman"/>
          <w:sz w:val="18"/>
          <w:szCs w:val="18"/>
        </w:rPr>
      </w:pPr>
      <w:r w:rsidRPr="00DD1554">
        <w:rPr>
          <w:rStyle w:val="FootnoteReference"/>
          <w:rFonts w:ascii="Times New Roman" w:hAnsi="Times New Roman"/>
          <w:sz w:val="18"/>
          <w:szCs w:val="18"/>
        </w:rPr>
        <w:footnoteRef/>
      </w:r>
      <w:r w:rsidRPr="00DD1554">
        <w:rPr>
          <w:rFonts w:ascii="Times New Roman" w:hAnsi="Times New Roman"/>
          <w:sz w:val="18"/>
          <w:szCs w:val="18"/>
          <w:rtl/>
        </w:rPr>
        <w:t xml:space="preserve"> </w:t>
      </w:r>
      <w:r w:rsidRPr="00D81B16">
        <w:rPr>
          <w:rFonts w:ascii="Times New Roman" w:hAnsi="Times New Roman"/>
          <w:sz w:val="18"/>
          <w:szCs w:val="18"/>
          <w:lang w:val="fr-FR"/>
        </w:rPr>
        <w:t xml:space="preserve">OCHA. </w:t>
      </w:r>
      <w:r w:rsidRPr="00DD1554">
        <w:rPr>
          <w:rFonts w:ascii="Times New Roman" w:hAnsi="Times New Roman"/>
          <w:sz w:val="18"/>
          <w:szCs w:val="18"/>
        </w:rPr>
        <w:t>East Jerusalem. Key Humanitarian Concerns. Special Focus, March 2011. P.16.</w:t>
      </w:r>
    </w:p>
  </w:footnote>
  <w:footnote w:id="5">
    <w:p w:rsidR="00087F5C" w:rsidRPr="0008298D" w:rsidRDefault="00087F5C" w:rsidP="006479E3">
      <w:pPr>
        <w:pStyle w:val="FootnoteText"/>
        <w:rPr>
          <w:rtl/>
        </w:rPr>
      </w:pPr>
      <w:r>
        <w:rPr>
          <w:rStyle w:val="FootnoteReference"/>
        </w:rPr>
        <w:footnoteRef/>
      </w:r>
      <w:r>
        <w:rPr>
          <w:rFonts w:hint="cs"/>
          <w:rtl/>
        </w:rPr>
        <w:t xml:space="preserve"> </w:t>
      </w:r>
      <w:hyperlink r:id="rId1" w:history="1">
        <w:r w:rsidRPr="00E859B0">
          <w:rPr>
            <w:rStyle w:val="Hyperlink"/>
            <w:rFonts w:asciiTheme="majorBidi" w:hAnsiTheme="majorBidi" w:cstheme="majorBidi"/>
            <w:color w:val="auto"/>
            <w:sz w:val="18"/>
            <w:szCs w:val="18"/>
          </w:rPr>
          <w:t>http://www.btselem.org/arabic/planning_and_building/east_jerusalem_statistics</w:t>
        </w:r>
      </w:hyperlink>
      <w:r w:rsidRPr="007D17C2">
        <w:rPr>
          <w:rFonts w:hint="cs"/>
          <w:sz w:val="18"/>
          <w:szCs w:val="18"/>
          <w:rtl/>
        </w:rPr>
        <w:t xml:space="preserve"> </w:t>
      </w:r>
      <w:r w:rsidRPr="007D17C2">
        <w:rPr>
          <w:rStyle w:val="FootnoteReference"/>
          <w:sz w:val="18"/>
          <w:szCs w:val="18"/>
        </w:rPr>
        <w:t xml:space="preserve"> </w:t>
      </w:r>
    </w:p>
  </w:footnote>
  <w:footnote w:id="6">
    <w:p w:rsidR="00087F5C" w:rsidRPr="00C028C0" w:rsidRDefault="00087F5C" w:rsidP="00107A44">
      <w:pPr>
        <w:pStyle w:val="FootnoteText"/>
        <w:rPr>
          <w:rFonts w:ascii="Times New Roman" w:hAnsi="Times New Roman"/>
          <w:sz w:val="18"/>
          <w:szCs w:val="18"/>
          <w:lang w:val="fr-FR"/>
        </w:rPr>
      </w:pPr>
      <w:r w:rsidRPr="00D957EF">
        <w:rPr>
          <w:rFonts w:ascii="Times New Roman" w:hAnsi="Times New Roman"/>
          <w:sz w:val="18"/>
          <w:szCs w:val="18"/>
          <w:vertAlign w:val="superscript"/>
          <w:lang w:val="fr-FR"/>
        </w:rPr>
        <w:footnoteRef/>
      </w:r>
      <w:r w:rsidRPr="00C028C0">
        <w:rPr>
          <w:rFonts w:ascii="Times New Roman" w:hAnsi="Times New Roman"/>
          <w:sz w:val="18"/>
          <w:szCs w:val="18"/>
          <w:lang w:val="fr-FR"/>
        </w:rPr>
        <w:t xml:space="preserve"> Education in </w:t>
      </w:r>
      <w:proofErr w:type="spellStart"/>
      <w:r w:rsidRPr="00C028C0">
        <w:rPr>
          <w:rFonts w:ascii="Times New Roman" w:hAnsi="Times New Roman"/>
          <w:sz w:val="18"/>
          <w:szCs w:val="18"/>
          <w:lang w:val="fr-FR"/>
        </w:rPr>
        <w:t>Jerusalem</w:t>
      </w:r>
      <w:proofErr w:type="spellEnd"/>
      <w:r w:rsidRPr="00C028C0">
        <w:rPr>
          <w:rFonts w:ascii="Times New Roman" w:hAnsi="Times New Roman"/>
          <w:sz w:val="18"/>
          <w:szCs w:val="18"/>
          <w:lang w:val="fr-FR"/>
        </w:rPr>
        <w:t xml:space="preserve">; Challenge and </w:t>
      </w:r>
      <w:proofErr w:type="spellStart"/>
      <w:r w:rsidRPr="00C028C0">
        <w:rPr>
          <w:rFonts w:ascii="Times New Roman" w:hAnsi="Times New Roman"/>
          <w:sz w:val="18"/>
          <w:szCs w:val="18"/>
          <w:lang w:val="fr-FR"/>
        </w:rPr>
        <w:t>stead</w:t>
      </w:r>
      <w:proofErr w:type="spellEnd"/>
      <w:r w:rsidRPr="00C028C0">
        <w:rPr>
          <w:rFonts w:ascii="Times New Roman" w:hAnsi="Times New Roman"/>
          <w:sz w:val="18"/>
          <w:szCs w:val="18"/>
          <w:lang w:val="fr-FR"/>
        </w:rPr>
        <w:t xml:space="preserve"> </w:t>
      </w:r>
      <w:proofErr w:type="spellStart"/>
      <w:r w:rsidRPr="00C028C0">
        <w:rPr>
          <w:rFonts w:ascii="Times New Roman" w:hAnsi="Times New Roman"/>
          <w:sz w:val="18"/>
          <w:szCs w:val="18"/>
          <w:lang w:val="fr-FR"/>
        </w:rPr>
        <w:t>fastness</w:t>
      </w:r>
      <w:proofErr w:type="spellEnd"/>
      <w:r w:rsidRPr="00C028C0">
        <w:rPr>
          <w:rFonts w:ascii="Times New Roman" w:hAnsi="Times New Roman"/>
          <w:sz w:val="18"/>
          <w:szCs w:val="18"/>
          <w:lang w:val="fr-FR"/>
        </w:rPr>
        <w:t xml:space="preserve"> . Dima </w:t>
      </w:r>
      <w:proofErr w:type="spellStart"/>
      <w:r>
        <w:rPr>
          <w:rFonts w:ascii="Times New Roman" w:hAnsi="Times New Roman"/>
          <w:sz w:val="18"/>
          <w:szCs w:val="18"/>
          <w:lang w:val="fr-FR"/>
        </w:rPr>
        <w:t>S</w:t>
      </w:r>
      <w:r w:rsidRPr="00C028C0">
        <w:rPr>
          <w:rFonts w:ascii="Times New Roman" w:hAnsi="Times New Roman"/>
          <w:sz w:val="18"/>
          <w:szCs w:val="18"/>
          <w:lang w:val="fr-FR"/>
        </w:rPr>
        <w:t>amm</w:t>
      </w:r>
      <w:r>
        <w:rPr>
          <w:rFonts w:ascii="Times New Roman" w:hAnsi="Times New Roman"/>
          <w:sz w:val="18"/>
          <w:szCs w:val="18"/>
          <w:lang w:val="fr-FR"/>
        </w:rPr>
        <w:t>a</w:t>
      </w:r>
      <w:r w:rsidRPr="00C028C0">
        <w:rPr>
          <w:rFonts w:ascii="Times New Roman" w:hAnsi="Times New Roman"/>
          <w:sz w:val="18"/>
          <w:szCs w:val="18"/>
          <w:lang w:val="fr-FR"/>
        </w:rPr>
        <w:t>n</w:t>
      </w:r>
      <w:proofErr w:type="spellEnd"/>
      <w:r w:rsidRPr="00C028C0">
        <w:rPr>
          <w:rFonts w:ascii="Times New Roman" w:hAnsi="Times New Roman"/>
          <w:sz w:val="18"/>
          <w:szCs w:val="18"/>
          <w:lang w:val="fr-FR"/>
        </w:rPr>
        <w:t xml:space="preserve">. MOEHE, April, 2012. </w:t>
      </w:r>
      <w:r>
        <w:rPr>
          <w:rFonts w:ascii="Times New Roman" w:hAnsi="Times New Roman"/>
          <w:sz w:val="18"/>
          <w:szCs w:val="18"/>
          <w:lang w:val="fr-FR"/>
        </w:rPr>
        <w:t xml:space="preserve">+ </w:t>
      </w:r>
      <w:r w:rsidRPr="00C028C0">
        <w:rPr>
          <w:rFonts w:ascii="Times New Roman" w:hAnsi="Times New Roman"/>
          <w:sz w:val="18"/>
          <w:szCs w:val="18"/>
          <w:lang w:val="fr-FR"/>
        </w:rPr>
        <w:t xml:space="preserve">Education in </w:t>
      </w:r>
      <w:proofErr w:type="spellStart"/>
      <w:r w:rsidRPr="00C028C0">
        <w:rPr>
          <w:rFonts w:ascii="Times New Roman" w:hAnsi="Times New Roman"/>
          <w:sz w:val="18"/>
          <w:szCs w:val="18"/>
          <w:lang w:val="fr-FR"/>
        </w:rPr>
        <w:t>Jerusalem</w:t>
      </w:r>
      <w:proofErr w:type="spellEnd"/>
      <w:r w:rsidRPr="00C028C0">
        <w:rPr>
          <w:rFonts w:ascii="Times New Roman" w:hAnsi="Times New Roman"/>
          <w:sz w:val="18"/>
          <w:szCs w:val="18"/>
          <w:lang w:val="fr-FR"/>
        </w:rPr>
        <w:t xml:space="preserve"> and violation </w:t>
      </w:r>
      <w:proofErr w:type="spellStart"/>
      <w:r w:rsidRPr="00C028C0">
        <w:rPr>
          <w:rFonts w:ascii="Times New Roman" w:hAnsi="Times New Roman"/>
          <w:sz w:val="18"/>
          <w:szCs w:val="18"/>
          <w:lang w:val="fr-FR"/>
        </w:rPr>
        <w:t>against</w:t>
      </w:r>
      <w:proofErr w:type="spellEnd"/>
      <w:r w:rsidRPr="00C028C0">
        <w:rPr>
          <w:rFonts w:ascii="Times New Roman" w:hAnsi="Times New Roman"/>
          <w:sz w:val="18"/>
          <w:szCs w:val="18"/>
          <w:lang w:val="fr-FR"/>
        </w:rPr>
        <w:t xml:space="preserve"> </w:t>
      </w:r>
      <w:proofErr w:type="spellStart"/>
      <w:r w:rsidRPr="00C028C0">
        <w:rPr>
          <w:rFonts w:ascii="Times New Roman" w:hAnsi="Times New Roman"/>
          <w:sz w:val="18"/>
          <w:szCs w:val="18"/>
          <w:lang w:val="fr-FR"/>
        </w:rPr>
        <w:t>Palestinian</w:t>
      </w:r>
      <w:proofErr w:type="spellEnd"/>
      <w:r w:rsidRPr="00C028C0">
        <w:rPr>
          <w:rFonts w:ascii="Times New Roman" w:hAnsi="Times New Roman"/>
          <w:sz w:val="18"/>
          <w:szCs w:val="18"/>
          <w:lang w:val="fr-FR"/>
        </w:rPr>
        <w:t xml:space="preserve"> </w:t>
      </w:r>
      <w:r>
        <w:rPr>
          <w:rFonts w:ascii="Times New Roman" w:hAnsi="Times New Roman"/>
          <w:sz w:val="18"/>
          <w:szCs w:val="18"/>
          <w:lang w:val="fr-FR"/>
        </w:rPr>
        <w:t>C</w:t>
      </w:r>
      <w:r w:rsidRPr="00C028C0">
        <w:rPr>
          <w:rFonts w:ascii="Times New Roman" w:hAnsi="Times New Roman"/>
          <w:sz w:val="18"/>
          <w:szCs w:val="18"/>
          <w:lang w:val="fr-FR"/>
        </w:rPr>
        <w:t>urriculum, 2014</w:t>
      </w:r>
    </w:p>
  </w:footnote>
  <w:footnote w:id="7">
    <w:p w:rsidR="00087F5C" w:rsidRPr="00307AE7" w:rsidRDefault="00087F5C" w:rsidP="0059512B">
      <w:pPr>
        <w:pStyle w:val="FootnoteText"/>
        <w:rPr>
          <w:rFonts w:ascii="Times New Roman" w:hAnsi="Times New Roman" w:cs="Times New Roman"/>
          <w:sz w:val="18"/>
          <w:szCs w:val="18"/>
        </w:rPr>
      </w:pPr>
      <w:r w:rsidRPr="00D6116F">
        <w:rPr>
          <w:rFonts w:ascii="Times New Roman" w:hAnsi="Times New Roman" w:cs="Times New Roman"/>
          <w:sz w:val="18"/>
          <w:szCs w:val="18"/>
          <w:vertAlign w:val="superscript"/>
        </w:rPr>
        <w:footnoteRef/>
      </w:r>
      <w:r w:rsidRPr="00D6116F">
        <w:rPr>
          <w:rFonts w:ascii="Times New Roman" w:hAnsi="Times New Roman" w:cs="Times New Roman"/>
          <w:sz w:val="18"/>
          <w:szCs w:val="18"/>
          <w:vertAlign w:val="superscript"/>
        </w:rPr>
        <w:t xml:space="preserve"> </w:t>
      </w:r>
      <w:r w:rsidRPr="00307AE7">
        <w:rPr>
          <w:rFonts w:ascii="Times New Roman" w:hAnsi="Times New Roman" w:cs="Times New Roman"/>
          <w:sz w:val="18"/>
          <w:szCs w:val="18"/>
        </w:rPr>
        <w:t xml:space="preserve">Tag: failure of the education system in East Jerusalem, August 2012 </w:t>
      </w:r>
      <w:proofErr w:type="spellStart"/>
      <w:r w:rsidRPr="00307AE7">
        <w:rPr>
          <w:rFonts w:ascii="Times New Roman" w:hAnsi="Times New Roman" w:cs="Times New Roman"/>
          <w:sz w:val="18"/>
          <w:szCs w:val="18"/>
        </w:rPr>
        <w:t>Ir</w:t>
      </w:r>
      <w:proofErr w:type="spellEnd"/>
      <w:r w:rsidRPr="00307AE7">
        <w:rPr>
          <w:rFonts w:ascii="Times New Roman" w:hAnsi="Times New Roman" w:cs="Times New Roman"/>
          <w:sz w:val="18"/>
          <w:szCs w:val="18"/>
        </w:rPr>
        <w:t xml:space="preserve"> </w:t>
      </w:r>
      <w:proofErr w:type="spellStart"/>
      <w:r w:rsidRPr="00307AE7">
        <w:rPr>
          <w:rFonts w:ascii="Times New Roman" w:hAnsi="Times New Roman" w:cs="Times New Roman"/>
          <w:sz w:val="18"/>
          <w:szCs w:val="18"/>
        </w:rPr>
        <w:t>Amim</w:t>
      </w:r>
      <w:proofErr w:type="spellEnd"/>
      <w:r w:rsidRPr="00307AE7">
        <w:rPr>
          <w:rFonts w:ascii="Times New Roman" w:hAnsi="Times New Roman" w:cs="Times New Roman"/>
          <w:sz w:val="18"/>
          <w:szCs w:val="18"/>
        </w:rPr>
        <w:t xml:space="preserve"> Foundation and Rights of Citizen, www.acri.org.il</w:t>
      </w:r>
    </w:p>
  </w:footnote>
  <w:footnote w:id="8">
    <w:p w:rsidR="00087F5C" w:rsidRPr="001A4B56" w:rsidRDefault="00087F5C" w:rsidP="00D1104C">
      <w:pPr>
        <w:pStyle w:val="FootnoteText"/>
        <w:rPr>
          <w:rFonts w:ascii="Times New Roman" w:hAnsi="Times New Roman" w:cs="Times New Roman"/>
          <w:sz w:val="18"/>
          <w:szCs w:val="18"/>
        </w:rPr>
      </w:pPr>
      <w:r w:rsidRPr="007D17C2">
        <w:rPr>
          <w:rStyle w:val="FootnoteReference"/>
          <w:rFonts w:asciiTheme="majorBidi" w:hAnsiTheme="majorBidi" w:cstheme="majorBidi"/>
          <w:sz w:val="18"/>
          <w:szCs w:val="18"/>
        </w:rPr>
        <w:footnoteRef/>
      </w:r>
      <w:r w:rsidRPr="007D17C2">
        <w:rPr>
          <w:rFonts w:asciiTheme="majorBidi" w:hAnsiTheme="majorBidi" w:cstheme="majorBidi"/>
          <w:sz w:val="18"/>
          <w:szCs w:val="18"/>
        </w:rPr>
        <w:t xml:space="preserve"> </w:t>
      </w:r>
      <w:r w:rsidRPr="001A4B56">
        <w:rPr>
          <w:rFonts w:ascii="Times New Roman" w:hAnsi="Times New Roman" w:cs="Times New Roman"/>
          <w:sz w:val="18"/>
          <w:szCs w:val="18"/>
        </w:rPr>
        <w:t>Save the Children Fact Sheet: Children’s Right to Education in Armed Conflict. October 2011</w:t>
      </w:r>
    </w:p>
  </w:footnote>
  <w:footnote w:id="9">
    <w:p w:rsidR="00087F5C" w:rsidRPr="001A4B56" w:rsidRDefault="00087F5C">
      <w:pPr>
        <w:pStyle w:val="FootnoteText"/>
        <w:rPr>
          <w:rFonts w:ascii="Times New Roman" w:hAnsi="Times New Roman" w:cs="Times New Roman"/>
          <w:sz w:val="18"/>
          <w:szCs w:val="18"/>
        </w:rPr>
      </w:pPr>
      <w:r w:rsidRPr="001A4B56">
        <w:rPr>
          <w:rStyle w:val="FootnoteReference"/>
          <w:rFonts w:ascii="Times New Roman" w:hAnsi="Times New Roman" w:cs="Times New Roman"/>
          <w:sz w:val="18"/>
          <w:szCs w:val="18"/>
        </w:rPr>
        <w:footnoteRef/>
      </w:r>
      <w:r w:rsidRPr="001A4B56">
        <w:rPr>
          <w:rFonts w:ascii="Times New Roman" w:hAnsi="Times New Roman" w:cs="Times New Roman"/>
          <w:sz w:val="18"/>
          <w:szCs w:val="18"/>
        </w:rPr>
        <w:t xml:space="preserve"> http://www.btselem.org/arabic/planning_and_building/east_jerusalem_statistics</w:t>
      </w:r>
    </w:p>
  </w:footnote>
  <w:footnote w:id="10">
    <w:p w:rsidR="00087F5C" w:rsidRPr="001A4B56" w:rsidRDefault="00087F5C" w:rsidP="00AE3D88">
      <w:pPr>
        <w:spacing w:after="0"/>
        <w:rPr>
          <w:rFonts w:ascii="Times New Roman" w:hAnsi="Times New Roman" w:cs="Times New Roman"/>
          <w:sz w:val="18"/>
          <w:szCs w:val="18"/>
          <w:rtl/>
        </w:rPr>
      </w:pPr>
      <w:r w:rsidRPr="001A4B56">
        <w:rPr>
          <w:rStyle w:val="FootnoteReference"/>
          <w:rFonts w:ascii="Times New Roman" w:hAnsi="Times New Roman" w:cs="Times New Roman"/>
          <w:sz w:val="18"/>
          <w:szCs w:val="18"/>
        </w:rPr>
        <w:footnoteRef/>
      </w:r>
      <w:r w:rsidRPr="001A4B56">
        <w:rPr>
          <w:rFonts w:ascii="Times New Roman" w:hAnsi="Times New Roman" w:cs="Times New Roman"/>
          <w:sz w:val="18"/>
          <w:szCs w:val="18"/>
        </w:rPr>
        <w:t xml:space="preserve"> UNDP-</w:t>
      </w:r>
      <w:proofErr w:type="spellStart"/>
      <w:r w:rsidRPr="001A4B56">
        <w:rPr>
          <w:rFonts w:ascii="Times New Roman" w:hAnsi="Times New Roman" w:cs="Times New Roman"/>
          <w:sz w:val="18"/>
          <w:szCs w:val="18"/>
        </w:rPr>
        <w:t>papp</w:t>
      </w:r>
      <w:proofErr w:type="spellEnd"/>
      <w:r w:rsidRPr="001A4B56">
        <w:rPr>
          <w:rFonts w:ascii="Times New Roman" w:hAnsi="Times New Roman" w:cs="Times New Roman"/>
          <w:sz w:val="18"/>
          <w:szCs w:val="18"/>
        </w:rPr>
        <w:t>-research-</w:t>
      </w:r>
      <w:proofErr w:type="spellStart"/>
      <w:r w:rsidRPr="001A4B56">
        <w:rPr>
          <w:rFonts w:ascii="Times New Roman" w:hAnsi="Times New Roman" w:cs="Times New Roman"/>
          <w:sz w:val="18"/>
          <w:szCs w:val="18"/>
        </w:rPr>
        <w:t>dammageassessment</w:t>
      </w:r>
      <w:proofErr w:type="spellEnd"/>
      <w:r w:rsidRPr="001A4B56">
        <w:rPr>
          <w:rFonts w:ascii="Times New Roman" w:hAnsi="Times New Roman" w:cs="Times New Roman"/>
          <w:sz w:val="18"/>
          <w:szCs w:val="18"/>
          <w:rtl/>
        </w:rPr>
        <w:t xml:space="preserve"> </w:t>
      </w:r>
      <w:r w:rsidRPr="001A4B56">
        <w:rPr>
          <w:rFonts w:ascii="Times New Roman" w:hAnsi="Times New Roman" w:cs="Times New Roman"/>
          <w:sz w:val="18"/>
          <w:szCs w:val="18"/>
        </w:rPr>
        <w:t>2014</w:t>
      </w:r>
    </w:p>
  </w:footnote>
  <w:footnote w:id="11">
    <w:p w:rsidR="00087F5C" w:rsidRDefault="00087F5C">
      <w:pPr>
        <w:pStyle w:val="FootnoteText"/>
      </w:pPr>
      <w:r>
        <w:rPr>
          <w:rStyle w:val="FootnoteReference"/>
        </w:rPr>
        <w:footnoteRef/>
      </w:r>
      <w:r>
        <w:t xml:space="preserve"> </w:t>
      </w:r>
      <w:hyperlink r:id="rId2" w:history="1">
        <w:r w:rsidRPr="001A4B56">
          <w:rPr>
            <w:rStyle w:val="Hyperlink"/>
            <w:rFonts w:ascii="Times New Roman" w:hAnsi="Times New Roman" w:cs="Times New Roman"/>
            <w:color w:val="auto"/>
            <w:sz w:val="18"/>
            <w:szCs w:val="18"/>
          </w:rPr>
          <w:t>http://www.unicef.org/appeals/state_of_palestine_sitreps.html</w:t>
        </w:r>
      </w:hyperlink>
    </w:p>
  </w:footnote>
  <w:footnote w:id="12">
    <w:p w:rsidR="00087F5C" w:rsidRPr="00DF3FC4" w:rsidRDefault="00087F5C" w:rsidP="00DF3FC4">
      <w:pPr>
        <w:pStyle w:val="FootnoteText"/>
        <w:rPr>
          <w:rFonts w:ascii="Times New Roman" w:hAnsi="Times New Roman" w:cs="Times New Roman"/>
          <w:sz w:val="18"/>
          <w:szCs w:val="18"/>
        </w:rPr>
      </w:pPr>
      <w:r w:rsidRPr="00D6116F">
        <w:rPr>
          <w:rFonts w:ascii="Times New Roman" w:hAnsi="Times New Roman" w:cs="Times New Roman"/>
          <w:sz w:val="18"/>
          <w:szCs w:val="18"/>
          <w:vertAlign w:val="superscript"/>
        </w:rPr>
        <w:footnoteRef/>
      </w:r>
      <w:r w:rsidRPr="00D6116F">
        <w:rPr>
          <w:rFonts w:ascii="Times New Roman" w:hAnsi="Times New Roman" w:cs="Times New Roman"/>
          <w:sz w:val="18"/>
          <w:szCs w:val="18"/>
          <w:vertAlign w:val="superscript"/>
        </w:rPr>
        <w:t xml:space="preserve"> </w:t>
      </w:r>
      <w:r w:rsidRPr="00DF3FC4">
        <w:rPr>
          <w:rFonts w:ascii="Times New Roman" w:hAnsi="Times New Roman" w:cs="Times New Roman"/>
          <w:sz w:val="18"/>
          <w:szCs w:val="18"/>
        </w:rPr>
        <w:t>Damages Caused by the aggression of the Israeli occupation against Gaza 2014.  MOEHE.  Gaza-Palestine</w:t>
      </w:r>
    </w:p>
  </w:footnote>
  <w:footnote w:id="13">
    <w:p w:rsidR="00087F5C" w:rsidRPr="001A4B56" w:rsidRDefault="00087F5C" w:rsidP="00AE3D88">
      <w:pPr>
        <w:pStyle w:val="FootnoteText"/>
        <w:rPr>
          <w:rFonts w:ascii="Times New Roman" w:hAnsi="Times New Roman" w:cs="Times New Roman"/>
          <w:sz w:val="18"/>
          <w:szCs w:val="18"/>
          <w:rtl/>
        </w:rPr>
      </w:pPr>
      <w:r w:rsidRPr="001A4B56">
        <w:rPr>
          <w:rStyle w:val="FootnoteReference"/>
          <w:rFonts w:ascii="Times New Roman" w:hAnsi="Times New Roman" w:cs="Times New Roman"/>
          <w:sz w:val="18"/>
          <w:szCs w:val="18"/>
        </w:rPr>
        <w:footnoteRef/>
      </w:r>
      <w:r w:rsidRPr="001A4B56">
        <w:rPr>
          <w:rFonts w:ascii="Times New Roman" w:hAnsi="Times New Roman" w:cs="Times New Roman"/>
          <w:sz w:val="18"/>
          <w:szCs w:val="18"/>
        </w:rPr>
        <w:t xml:space="preserve"> </w:t>
      </w:r>
      <w:r w:rsidRPr="001A4B56">
        <w:rPr>
          <w:rFonts w:ascii="Times New Roman" w:hAnsi="Times New Roman" w:cs="Times New Roman"/>
          <w:sz w:val="18"/>
          <w:szCs w:val="18"/>
          <w:rtl/>
        </w:rPr>
        <w:t xml:space="preserve"> </w:t>
      </w:r>
      <w:r w:rsidRPr="001A4B56">
        <w:rPr>
          <w:rFonts w:ascii="Times New Roman" w:hAnsi="Times New Roman" w:cs="Times New Roman"/>
          <w:sz w:val="18"/>
          <w:szCs w:val="18"/>
        </w:rPr>
        <w:t>Source: Ministry of Education unless is otherwise specified</w:t>
      </w:r>
    </w:p>
  </w:footnote>
  <w:footnote w:id="14">
    <w:p w:rsidR="00087F5C" w:rsidRPr="001A4B56" w:rsidRDefault="00087F5C" w:rsidP="00850A7A">
      <w:pPr>
        <w:pStyle w:val="FootnoteText"/>
        <w:rPr>
          <w:rFonts w:ascii="Times New Roman" w:hAnsi="Times New Roman" w:cs="Times New Roman"/>
          <w:sz w:val="18"/>
          <w:szCs w:val="18"/>
        </w:rPr>
      </w:pPr>
      <w:r w:rsidRPr="001A4B56">
        <w:rPr>
          <w:rStyle w:val="FootnoteReference"/>
          <w:rFonts w:ascii="Times New Roman" w:hAnsi="Times New Roman" w:cs="Times New Roman"/>
          <w:sz w:val="18"/>
          <w:szCs w:val="18"/>
        </w:rPr>
        <w:footnoteRef/>
      </w:r>
      <w:r w:rsidRPr="001A4B56">
        <w:rPr>
          <w:rFonts w:ascii="Times New Roman" w:hAnsi="Times New Roman" w:cs="Times New Roman"/>
          <w:sz w:val="18"/>
          <w:szCs w:val="18"/>
        </w:rPr>
        <w:t xml:space="preserve"> Ministry of Education, State of Palestine. Monitoring and evaluation report of the Strategic Development Plan 2008-2012.</w:t>
      </w:r>
      <w:r w:rsidRPr="001A4B56">
        <w:rPr>
          <w:rFonts w:ascii="Times New Roman" w:hAnsi="Times New Roman" w:cs="Times New Roman"/>
          <w:color w:val="FF0000"/>
          <w:sz w:val="18"/>
          <w:szCs w:val="18"/>
          <w:rtl/>
        </w:rPr>
        <w:t>.</w:t>
      </w:r>
    </w:p>
  </w:footnote>
  <w:footnote w:id="15">
    <w:p w:rsidR="00087F5C" w:rsidRPr="008827A7" w:rsidRDefault="00087F5C" w:rsidP="001F06B2">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proofErr w:type="spellStart"/>
      <w:r w:rsidRPr="008827A7">
        <w:rPr>
          <w:rFonts w:ascii="Times New Roman" w:hAnsi="Times New Roman" w:cs="Times New Roman"/>
          <w:sz w:val="18"/>
          <w:szCs w:val="18"/>
          <w:rtl/>
        </w:rPr>
        <w:t>.</w:t>
      </w:r>
      <w:proofErr w:type="spellEnd"/>
      <w:r w:rsidRPr="008827A7">
        <w:rPr>
          <w:rFonts w:ascii="Times New Roman" w:hAnsi="Times New Roman" w:cs="Times New Roman"/>
          <w:sz w:val="18"/>
          <w:szCs w:val="18"/>
        </w:rPr>
        <w:t>PCBS, Multi</w:t>
      </w:r>
      <w:r>
        <w:rPr>
          <w:rFonts w:ascii="Times New Roman" w:hAnsi="Times New Roman" w:cs="Times New Roman"/>
          <w:sz w:val="18"/>
          <w:szCs w:val="18"/>
        </w:rPr>
        <w:t>ple</w:t>
      </w:r>
      <w:r w:rsidRPr="008827A7">
        <w:rPr>
          <w:rFonts w:ascii="Times New Roman" w:hAnsi="Times New Roman" w:cs="Times New Roman"/>
          <w:sz w:val="18"/>
          <w:szCs w:val="18"/>
        </w:rPr>
        <w:t>-Indicator Survey, 2014, (Unpublished Data).</w:t>
      </w:r>
    </w:p>
  </w:footnote>
  <w:footnote w:id="16">
    <w:p w:rsidR="00087F5C" w:rsidRPr="008827A7" w:rsidRDefault="00087F5C" w:rsidP="008123B9">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 xml:space="preserve">This indicator covers school children under the supervision of the Israeli Ministry of Education in Jerusalem. PCBS population estimates and census of students conducted by </w:t>
      </w:r>
      <w:proofErr w:type="spellStart"/>
      <w:r w:rsidRPr="008827A7">
        <w:rPr>
          <w:rFonts w:ascii="Times New Roman" w:hAnsi="Times New Roman" w:cs="Times New Roman"/>
          <w:sz w:val="18"/>
          <w:szCs w:val="18"/>
        </w:rPr>
        <w:t>MoEHE</w:t>
      </w:r>
      <w:proofErr w:type="spellEnd"/>
      <w:r w:rsidRPr="008827A7">
        <w:rPr>
          <w:rFonts w:ascii="Times New Roman" w:hAnsi="Times New Roman" w:cs="Times New Roman"/>
          <w:sz w:val="18"/>
          <w:szCs w:val="18"/>
        </w:rPr>
        <w:t xml:space="preserve"> have been adopted.</w:t>
      </w:r>
    </w:p>
  </w:footnote>
  <w:footnote w:id="17">
    <w:p w:rsidR="00087F5C" w:rsidRPr="00BA7297" w:rsidRDefault="00087F5C" w:rsidP="000210A2">
      <w:pPr>
        <w:pStyle w:val="FootnoteText"/>
        <w:rPr>
          <w:rFonts w:ascii="Times New Roman" w:hAnsi="Times New Roman"/>
          <w:sz w:val="18"/>
          <w:szCs w:val="18"/>
        </w:rPr>
      </w:pPr>
      <w:r w:rsidRPr="00BA7297">
        <w:rPr>
          <w:rStyle w:val="FootnoteReference"/>
          <w:rFonts w:ascii="Times New Roman" w:hAnsi="Times New Roman"/>
          <w:sz w:val="18"/>
          <w:szCs w:val="18"/>
        </w:rPr>
        <w:footnoteRef/>
      </w:r>
      <w:r w:rsidRPr="00BA7297">
        <w:rPr>
          <w:rFonts w:ascii="Times New Roman" w:hAnsi="Times New Roman"/>
          <w:sz w:val="18"/>
          <w:szCs w:val="18"/>
          <w:rtl/>
        </w:rPr>
        <w:t xml:space="preserve"> </w:t>
      </w:r>
      <w:r w:rsidRPr="00BA7297">
        <w:rPr>
          <w:rFonts w:ascii="Times New Roman" w:hAnsi="Times New Roman"/>
          <w:sz w:val="18"/>
          <w:szCs w:val="18"/>
        </w:rPr>
        <w:t>Conference on Promoting Teachers on</w:t>
      </w:r>
      <w:r>
        <w:rPr>
          <w:rFonts w:ascii="Times New Roman" w:hAnsi="Times New Roman"/>
          <w:sz w:val="18"/>
          <w:szCs w:val="18"/>
        </w:rPr>
        <w:t xml:space="preserve"> </w:t>
      </w:r>
      <w:r w:rsidRPr="00BA7297">
        <w:rPr>
          <w:rFonts w:ascii="Times New Roman" w:hAnsi="Times New Roman"/>
          <w:sz w:val="18"/>
          <w:szCs w:val="18"/>
        </w:rPr>
        <w:t>Feb</w:t>
      </w:r>
      <w:r>
        <w:rPr>
          <w:rFonts w:ascii="Times New Roman" w:hAnsi="Times New Roman"/>
          <w:sz w:val="18"/>
          <w:szCs w:val="18"/>
        </w:rPr>
        <w:t>.</w:t>
      </w:r>
      <w:r w:rsidRPr="00BA7297">
        <w:rPr>
          <w:rFonts w:ascii="Times New Roman" w:hAnsi="Times New Roman"/>
          <w:sz w:val="18"/>
          <w:szCs w:val="18"/>
        </w:rPr>
        <w:t xml:space="preserve"> 20</w:t>
      </w:r>
      <w:r>
        <w:rPr>
          <w:rFonts w:ascii="Times New Roman" w:hAnsi="Times New Roman"/>
          <w:sz w:val="18"/>
          <w:szCs w:val="18"/>
          <w:vertAlign w:val="superscript"/>
        </w:rPr>
        <w:t>th</w:t>
      </w:r>
      <w:r w:rsidRPr="00BA7297">
        <w:rPr>
          <w:rFonts w:ascii="Times New Roman" w:hAnsi="Times New Roman"/>
          <w:sz w:val="18"/>
          <w:szCs w:val="18"/>
        </w:rPr>
        <w:t>., 2013.</w:t>
      </w:r>
    </w:p>
  </w:footnote>
  <w:footnote w:id="18">
    <w:p w:rsidR="00087F5C" w:rsidRPr="008827A7" w:rsidRDefault="00087F5C" w:rsidP="00B3506D">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Survey of knowledge, perceptions and practices in water, sanitation and school hygiene in the occupied Palestinian territories. The Ministry of Education. UNICEF, with support from the Australian government. December 2011.</w:t>
      </w:r>
    </w:p>
  </w:footnote>
  <w:footnote w:id="19">
    <w:p w:rsidR="00087F5C" w:rsidRPr="008827A7" w:rsidRDefault="00087F5C" w:rsidP="00AB18E1">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Survey of knowledge, perceptions and practices in water, sanitation and school hygiene in the occupied Palestinian territories. Ministry of Education, UNICEF with funding from the Australian government. December 2011.</w:t>
      </w:r>
    </w:p>
    <w:p w:rsidR="00087F5C" w:rsidRPr="00F05BE3" w:rsidRDefault="00087F5C" w:rsidP="00AB18E1">
      <w:pPr>
        <w:pStyle w:val="FootnoteText"/>
        <w:rPr>
          <w:rFonts w:ascii="Times New Roman" w:hAnsi="Times New Roman"/>
          <w:sz w:val="18"/>
          <w:szCs w:val="18"/>
        </w:rPr>
      </w:pPr>
    </w:p>
  </w:footnote>
  <w:footnote w:id="20">
    <w:p w:rsidR="00087F5C" w:rsidRPr="008827A7" w:rsidRDefault="00087F5C" w:rsidP="00CE13D1">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w:t>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Source: Ministry of Education 2013, Educational Statistics Year Book for the school year 2012/2013, Ramallah-Palestine. P. 53-</w:t>
      </w:r>
      <w:r>
        <w:rPr>
          <w:rFonts w:ascii="Times New Roman" w:hAnsi="Times New Roman" w:cs="Times New Roman"/>
          <w:sz w:val="18"/>
          <w:szCs w:val="18"/>
        </w:rPr>
        <w:t xml:space="preserve"> </w:t>
      </w:r>
      <w:r w:rsidRPr="00E47C54">
        <w:rPr>
          <w:rFonts w:ascii="Times New Roman" w:hAnsi="Times New Roman" w:cs="Times New Roman"/>
          <w:sz w:val="18"/>
          <w:szCs w:val="18"/>
          <w:vertAlign w:val="superscript"/>
        </w:rPr>
        <w:t>56</w:t>
      </w:r>
      <w:r w:rsidRPr="008827A7">
        <w:rPr>
          <w:rFonts w:ascii="Times New Roman" w:hAnsi="Times New Roman" w:cs="Times New Roman"/>
          <w:sz w:val="18"/>
          <w:szCs w:val="18"/>
        </w:rPr>
        <w:t xml:space="preserve">. Data do not include Jerusalem Schools run by </w:t>
      </w:r>
      <w:proofErr w:type="spellStart"/>
      <w:r w:rsidRPr="008827A7">
        <w:rPr>
          <w:rFonts w:ascii="Times New Roman" w:hAnsi="Times New Roman" w:cs="Times New Roman"/>
          <w:sz w:val="18"/>
          <w:szCs w:val="18"/>
        </w:rPr>
        <w:t>Maaref</w:t>
      </w:r>
      <w:proofErr w:type="spellEnd"/>
      <w:r w:rsidRPr="008827A7">
        <w:rPr>
          <w:rFonts w:ascii="Times New Roman" w:hAnsi="Times New Roman" w:cs="Times New Roman"/>
          <w:sz w:val="18"/>
          <w:szCs w:val="18"/>
        </w:rPr>
        <w:t xml:space="preserve"> and the Israeli Municipality Schools</w:t>
      </w:r>
    </w:p>
  </w:footnote>
  <w:footnote w:id="21">
    <w:p w:rsidR="00087F5C" w:rsidRPr="008827A7" w:rsidRDefault="00087F5C" w:rsidP="00CE13D1">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Educational databases. General Administration of Planning.  Ministry of Education 2013.</w:t>
      </w:r>
    </w:p>
  </w:footnote>
  <w:footnote w:id="22">
    <w:p w:rsidR="00087F5C" w:rsidRPr="008827A7" w:rsidRDefault="00087F5C">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Educational databases. General Administration of Planning.  Ministry of Education 2013.</w:t>
      </w:r>
    </w:p>
  </w:footnote>
  <w:footnote w:id="23">
    <w:p w:rsidR="00087F5C" w:rsidRPr="008827A7" w:rsidRDefault="00087F5C">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Educational databases. General Administration of Planning.  Ministry of Education 2013.</w:t>
      </w:r>
    </w:p>
  </w:footnote>
  <w:footnote w:id="24">
    <w:p w:rsidR="00087F5C" w:rsidRPr="008827A7" w:rsidRDefault="00087F5C" w:rsidP="001816CE">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w:t>
      </w:r>
      <w:proofErr w:type="spellStart"/>
      <w:r w:rsidRPr="008827A7">
        <w:rPr>
          <w:rFonts w:ascii="Times New Roman" w:hAnsi="Times New Roman" w:cs="Times New Roman"/>
          <w:sz w:val="18"/>
          <w:szCs w:val="18"/>
        </w:rPr>
        <w:t>MoH</w:t>
      </w:r>
      <w:proofErr w:type="spellEnd"/>
      <w:r w:rsidRPr="008827A7">
        <w:rPr>
          <w:rFonts w:ascii="Times New Roman" w:hAnsi="Times New Roman" w:cs="Times New Roman"/>
          <w:sz w:val="18"/>
          <w:szCs w:val="18"/>
        </w:rPr>
        <w:t xml:space="preserve">, Palestinian Health Information Center – Annual Health Report, Palestine 2013 </w:t>
      </w:r>
      <w:r w:rsidRPr="008827A7">
        <w:rPr>
          <w:rFonts w:ascii="Times New Roman" w:hAnsi="Times New Roman" w:cs="Times New Roman"/>
          <w:sz w:val="18"/>
          <w:szCs w:val="18"/>
          <w:rtl/>
        </w:rPr>
        <w:t xml:space="preserve"> </w:t>
      </w:r>
    </w:p>
  </w:footnote>
  <w:footnote w:id="25">
    <w:p w:rsidR="00087F5C" w:rsidRPr="008827A7" w:rsidRDefault="00087F5C" w:rsidP="001816CE">
      <w:pPr>
        <w:pStyle w:val="Heading3"/>
        <w:bidi w:val="0"/>
        <w:jc w:val="left"/>
        <w:rPr>
          <w:rFonts w:cs="Times New Roman"/>
          <w:b w:val="0"/>
          <w:bCs w:val="0"/>
          <w:sz w:val="18"/>
          <w:szCs w:val="18"/>
          <w:rtl/>
        </w:rPr>
      </w:pPr>
      <w:r w:rsidRPr="008827A7">
        <w:rPr>
          <w:rStyle w:val="FootnoteReference"/>
          <w:rFonts w:cs="Times New Roman"/>
          <w:b w:val="0"/>
          <w:bCs w:val="0"/>
          <w:sz w:val="18"/>
          <w:szCs w:val="18"/>
        </w:rPr>
        <w:footnoteRef/>
      </w:r>
      <w:r w:rsidRPr="008827A7">
        <w:rPr>
          <w:rStyle w:val="FootnoteReference"/>
          <w:rFonts w:cs="Times New Roman"/>
          <w:b w:val="0"/>
          <w:bCs w:val="0"/>
          <w:sz w:val="18"/>
          <w:szCs w:val="18"/>
        </w:rPr>
        <w:t xml:space="preserve"> </w:t>
      </w:r>
      <w:r w:rsidRPr="008827A7">
        <w:rPr>
          <w:rStyle w:val="FootnoteReference"/>
          <w:rFonts w:cs="Times New Roman"/>
          <w:b w:val="0"/>
          <w:bCs w:val="0"/>
          <w:sz w:val="18"/>
          <w:szCs w:val="18"/>
          <w:vertAlign w:val="baseline"/>
          <w:rtl/>
        </w:rPr>
        <w:t xml:space="preserve"> </w:t>
      </w:r>
      <w:r w:rsidRPr="008827A7">
        <w:rPr>
          <w:rFonts w:cs="Times New Roman"/>
          <w:b w:val="0"/>
          <w:bCs w:val="0"/>
          <w:sz w:val="18"/>
          <w:szCs w:val="18"/>
        </w:rPr>
        <w:t xml:space="preserve">PCBS, </w:t>
      </w:r>
      <w:proofErr w:type="spellStart"/>
      <w:r w:rsidRPr="008827A7">
        <w:rPr>
          <w:rFonts w:cs="Times New Roman"/>
          <w:b w:val="0"/>
          <w:bCs w:val="0"/>
          <w:sz w:val="18"/>
          <w:szCs w:val="18"/>
        </w:rPr>
        <w:t>MoH</w:t>
      </w:r>
      <w:proofErr w:type="spellEnd"/>
      <w:r w:rsidRPr="008827A7">
        <w:rPr>
          <w:rFonts w:cs="Times New Roman"/>
          <w:b w:val="0"/>
          <w:bCs w:val="0"/>
          <w:sz w:val="18"/>
          <w:szCs w:val="18"/>
        </w:rPr>
        <w:t xml:space="preserve"> 2015, National Health Accounts 2013, Main Results, Ramallah-Palestine</w:t>
      </w:r>
    </w:p>
  </w:footnote>
  <w:footnote w:id="26">
    <w:p w:rsidR="00087F5C" w:rsidRPr="004B1772" w:rsidRDefault="00087F5C" w:rsidP="000A74B7">
      <w:pPr>
        <w:pStyle w:val="FootnoteText"/>
        <w:rPr>
          <w:rFonts w:ascii="Times New Roman" w:hAnsi="Times New Roman" w:cs="Times New Roman"/>
          <w:rtl/>
        </w:rPr>
      </w:pPr>
      <w:r w:rsidRPr="004B1772">
        <w:rPr>
          <w:rStyle w:val="FootnoteReference"/>
          <w:rFonts w:ascii="Times New Roman" w:hAnsi="Times New Roman" w:cs="Times New Roman"/>
          <w:sz w:val="18"/>
          <w:szCs w:val="18"/>
        </w:rPr>
        <w:footnoteRef/>
      </w:r>
      <w:r w:rsidRPr="004B1772">
        <w:rPr>
          <w:rFonts w:ascii="Times New Roman" w:hAnsi="Times New Roman" w:cs="Times New Roman"/>
          <w:sz w:val="18"/>
          <w:szCs w:val="18"/>
        </w:rPr>
        <w:t xml:space="preserve"> PCBS 2015, Multi</w:t>
      </w:r>
      <w:r>
        <w:rPr>
          <w:rFonts w:ascii="Times New Roman" w:hAnsi="Times New Roman" w:cs="Times New Roman"/>
          <w:sz w:val="18"/>
          <w:szCs w:val="18"/>
        </w:rPr>
        <w:t>ple</w:t>
      </w:r>
      <w:r w:rsidRPr="004B1772">
        <w:rPr>
          <w:rFonts w:ascii="Times New Roman" w:hAnsi="Times New Roman" w:cs="Times New Roman"/>
          <w:sz w:val="18"/>
          <w:szCs w:val="18"/>
        </w:rPr>
        <w:t xml:space="preserve"> Indicator Cluster Survey 2014, </w:t>
      </w:r>
      <w:r>
        <w:rPr>
          <w:rFonts w:ascii="Times New Roman" w:hAnsi="Times New Roman" w:cs="Times New Roman"/>
          <w:sz w:val="18"/>
          <w:szCs w:val="18"/>
        </w:rPr>
        <w:t>Key findings</w:t>
      </w:r>
      <w:r w:rsidRPr="004B1772">
        <w:rPr>
          <w:rFonts w:ascii="Times New Roman" w:hAnsi="Times New Roman" w:cs="Times New Roman"/>
          <w:sz w:val="18"/>
          <w:szCs w:val="18"/>
        </w:rPr>
        <w:t xml:space="preserve"> Results</w:t>
      </w:r>
      <w:r>
        <w:rPr>
          <w:rFonts w:ascii="Times New Roman" w:hAnsi="Times New Roman" w:cs="Times New Roman"/>
          <w:sz w:val="18"/>
          <w:szCs w:val="18"/>
        </w:rPr>
        <w:t>.</w:t>
      </w:r>
      <w:r w:rsidRPr="004B1772">
        <w:rPr>
          <w:rFonts w:ascii="Times New Roman" w:hAnsi="Times New Roman" w:cs="Times New Roman"/>
          <w:sz w:val="18"/>
          <w:szCs w:val="18"/>
        </w:rPr>
        <w:t xml:space="preserve"> </w:t>
      </w:r>
      <w:r w:rsidRPr="004B1772">
        <w:rPr>
          <w:rFonts w:ascii="Times New Roman" w:hAnsi="Times New Roman" w:cs="Times New Roman"/>
          <w:sz w:val="18"/>
          <w:szCs w:val="18"/>
          <w:rtl/>
        </w:rPr>
        <w:t xml:space="preserve"> </w:t>
      </w:r>
    </w:p>
  </w:footnote>
  <w:footnote w:id="27">
    <w:p w:rsidR="00087F5C" w:rsidRPr="008827A7" w:rsidRDefault="00087F5C" w:rsidP="001816CE">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w:t>
      </w:r>
      <w:proofErr w:type="spellStart"/>
      <w:r w:rsidRPr="008827A7">
        <w:rPr>
          <w:rFonts w:ascii="Times New Roman" w:hAnsi="Times New Roman" w:cs="Times New Roman"/>
          <w:sz w:val="18"/>
          <w:szCs w:val="18"/>
        </w:rPr>
        <w:t>MoH</w:t>
      </w:r>
      <w:proofErr w:type="spellEnd"/>
      <w:r w:rsidRPr="008827A7">
        <w:rPr>
          <w:rFonts w:ascii="Times New Roman" w:hAnsi="Times New Roman" w:cs="Times New Roman"/>
          <w:sz w:val="18"/>
          <w:szCs w:val="18"/>
        </w:rPr>
        <w:t xml:space="preserve">, Palestine Annual Health Report, 2013  </w:t>
      </w:r>
      <w:r w:rsidRPr="008827A7">
        <w:rPr>
          <w:rFonts w:ascii="Times New Roman" w:hAnsi="Times New Roman" w:cs="Times New Roman"/>
          <w:sz w:val="18"/>
          <w:szCs w:val="18"/>
          <w:rtl/>
        </w:rPr>
        <w:t xml:space="preserve"> </w:t>
      </w:r>
    </w:p>
    <w:p w:rsidR="00087F5C" w:rsidRDefault="00087F5C" w:rsidP="005C1AD1">
      <w:pPr>
        <w:pStyle w:val="FootnoteText"/>
        <w:bidi/>
        <w:rPr>
          <w:rtl/>
        </w:rPr>
      </w:pPr>
    </w:p>
  </w:footnote>
  <w:footnote w:id="28">
    <w:p w:rsidR="00087F5C" w:rsidRPr="0016031C" w:rsidRDefault="00087F5C" w:rsidP="005C1AD1">
      <w:pPr>
        <w:pStyle w:val="FootnoteText"/>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Annual Health Reports.  Ministry of Health, 2009, 2010, 2011.</w:t>
      </w:r>
    </w:p>
  </w:footnote>
  <w:footnote w:id="29">
    <w:p w:rsidR="00087F5C" w:rsidRPr="0016031C" w:rsidRDefault="00087F5C" w:rsidP="005C1AD1">
      <w:pPr>
        <w:pStyle w:val="FootnoteText"/>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Unpublished data, Health information Center, Ministry of Health.</w:t>
      </w:r>
    </w:p>
  </w:footnote>
  <w:footnote w:id="30">
    <w:p w:rsidR="00087F5C" w:rsidRPr="008827A7" w:rsidRDefault="00087F5C" w:rsidP="00883F93">
      <w:pPr>
        <w:spacing w:after="0" w:line="240" w:lineRule="auto"/>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Source: Palestinian Central Bureau of Statistics, 2015. Palestinian Multiple-Indicator Cluster Survey, 2014. Key findings Results</w:t>
      </w:r>
      <w:r w:rsidRPr="008827A7">
        <w:rPr>
          <w:rFonts w:ascii="Times New Roman" w:hAnsi="Times New Roman" w:cs="Times New Roman"/>
          <w:sz w:val="18"/>
          <w:szCs w:val="18"/>
          <w:rtl/>
        </w:rPr>
        <w:t>.</w:t>
      </w:r>
    </w:p>
  </w:footnote>
  <w:footnote w:id="31">
    <w:p w:rsidR="00087F5C" w:rsidRPr="008827A7" w:rsidRDefault="00087F5C" w:rsidP="00883F93">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vertAlign w:val="superscript"/>
        </w:rPr>
        <w:t xml:space="preserve"> </w:t>
      </w:r>
      <w:r w:rsidRPr="008827A7">
        <w:rPr>
          <w:rFonts w:ascii="Times New Roman" w:hAnsi="Times New Roman" w:cs="Times New Roman"/>
          <w:sz w:val="18"/>
          <w:szCs w:val="18"/>
          <w:rtl/>
        </w:rPr>
        <w:t xml:space="preserve"> </w:t>
      </w:r>
      <w:proofErr w:type="spellStart"/>
      <w:r w:rsidRPr="008827A7">
        <w:rPr>
          <w:rFonts w:ascii="Times New Roman" w:hAnsi="Times New Roman" w:cs="Times New Roman"/>
          <w:sz w:val="18"/>
          <w:szCs w:val="18"/>
        </w:rPr>
        <w:t>MoH</w:t>
      </w:r>
      <w:proofErr w:type="spellEnd"/>
      <w:r w:rsidRPr="008827A7">
        <w:rPr>
          <w:rFonts w:ascii="Times New Roman" w:hAnsi="Times New Roman" w:cs="Times New Roman"/>
          <w:sz w:val="18"/>
          <w:szCs w:val="18"/>
        </w:rPr>
        <w:t>-Palestine, Annual Reports 2009-2013</w:t>
      </w:r>
      <w:r w:rsidRPr="008827A7">
        <w:rPr>
          <w:rFonts w:ascii="Times New Roman" w:hAnsi="Times New Roman" w:cs="Times New Roman"/>
          <w:sz w:val="18"/>
          <w:szCs w:val="18"/>
          <w:rtl/>
        </w:rPr>
        <w:t>.</w:t>
      </w:r>
    </w:p>
  </w:footnote>
  <w:footnote w:id="32">
    <w:p w:rsidR="00087F5C" w:rsidRPr="008827A7" w:rsidRDefault="00087F5C" w:rsidP="00424122">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http://www.who.int/nutrition/topics/vad/en/</w:t>
      </w:r>
    </w:p>
  </w:footnote>
  <w:footnote w:id="33">
    <w:p w:rsidR="00087F5C" w:rsidRPr="00A605E2" w:rsidRDefault="00087F5C" w:rsidP="00A605E2">
      <w:pPr>
        <w:pStyle w:val="FootnoteText"/>
        <w:rPr>
          <w:rFonts w:ascii="Times New Roman" w:hAnsi="Times New Roman" w:cs="Times New Roman"/>
          <w:rtl/>
        </w:rPr>
      </w:pPr>
      <w:r w:rsidRPr="00A605E2">
        <w:rPr>
          <w:rStyle w:val="FootnoteReference"/>
          <w:rFonts w:ascii="Times New Roman" w:hAnsi="Times New Roman" w:cs="Times New Roman"/>
          <w:sz w:val="18"/>
          <w:szCs w:val="18"/>
        </w:rPr>
        <w:footnoteRef/>
      </w:r>
      <w:r w:rsidRPr="00A605E2">
        <w:rPr>
          <w:rFonts w:ascii="Times New Roman" w:hAnsi="Times New Roman" w:cs="Times New Roman"/>
          <w:sz w:val="18"/>
          <w:szCs w:val="18"/>
        </w:rPr>
        <w:t xml:space="preserve"> </w:t>
      </w:r>
      <w:r w:rsidRPr="00A605E2">
        <w:rPr>
          <w:rFonts w:ascii="Times New Roman" w:hAnsi="Times New Roman" w:cs="Times New Roman"/>
          <w:sz w:val="18"/>
          <w:szCs w:val="18"/>
          <w:rtl/>
        </w:rPr>
        <w:t xml:space="preserve"> </w:t>
      </w:r>
      <w:r w:rsidRPr="00A605E2">
        <w:rPr>
          <w:rFonts w:ascii="Times New Roman" w:hAnsi="Times New Roman" w:cs="Times New Roman"/>
          <w:sz w:val="18"/>
          <w:szCs w:val="18"/>
        </w:rPr>
        <w:t>PCBS, Multi</w:t>
      </w:r>
      <w:r>
        <w:rPr>
          <w:rFonts w:ascii="Times New Roman" w:hAnsi="Times New Roman" w:cs="Times New Roman"/>
          <w:sz w:val="18"/>
          <w:szCs w:val="18"/>
        </w:rPr>
        <w:t>ple</w:t>
      </w:r>
      <w:r w:rsidRPr="00A605E2">
        <w:rPr>
          <w:rFonts w:ascii="Times New Roman" w:hAnsi="Times New Roman" w:cs="Times New Roman"/>
          <w:sz w:val="18"/>
          <w:szCs w:val="18"/>
        </w:rPr>
        <w:t xml:space="preserve"> Indicator Cluster Survey 2014, unpublished data.</w:t>
      </w:r>
      <w:r w:rsidRPr="00A605E2">
        <w:rPr>
          <w:rFonts w:ascii="Times New Roman" w:hAnsi="Times New Roman" w:cs="Times New Roman"/>
          <w:sz w:val="18"/>
          <w:szCs w:val="18"/>
          <w:rtl/>
        </w:rPr>
        <w:t>.</w:t>
      </w:r>
    </w:p>
  </w:footnote>
  <w:footnote w:id="34">
    <w:p w:rsidR="00087F5C" w:rsidRPr="008827A7" w:rsidRDefault="00087F5C" w:rsidP="008E259C">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w:t>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PCBS, PMICS 2014, unpublished data</w:t>
      </w:r>
      <w:r w:rsidRPr="008827A7">
        <w:rPr>
          <w:rFonts w:ascii="Times New Roman" w:hAnsi="Times New Roman" w:cs="Times New Roman"/>
          <w:sz w:val="18"/>
          <w:szCs w:val="18"/>
          <w:rtl/>
        </w:rPr>
        <w:t>.</w:t>
      </w:r>
    </w:p>
  </w:footnote>
  <w:footnote w:id="35">
    <w:p w:rsidR="00087F5C" w:rsidRPr="008827A7" w:rsidRDefault="00087F5C" w:rsidP="00D304D2">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w:t>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MOH, Palestinian Micronutrient Survey, 2013.</w:t>
      </w:r>
    </w:p>
  </w:footnote>
  <w:footnote w:id="36">
    <w:p w:rsidR="00087F5C" w:rsidRPr="008827A7" w:rsidRDefault="00087F5C" w:rsidP="009A7911">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PCBS, Multi-Indicator Survey, 2014, unpublished data</w:t>
      </w:r>
      <w:r w:rsidRPr="008827A7">
        <w:rPr>
          <w:rFonts w:ascii="Times New Roman" w:hAnsi="Times New Roman" w:cs="Times New Roman"/>
          <w:sz w:val="18"/>
          <w:szCs w:val="18"/>
          <w:rtl/>
        </w:rPr>
        <w:t>.</w:t>
      </w:r>
    </w:p>
  </w:footnote>
  <w:footnote w:id="37">
    <w:p w:rsidR="00087F5C" w:rsidRPr="008827A7" w:rsidRDefault="00087F5C" w:rsidP="00D304D2">
      <w:pPr>
        <w:pStyle w:val="FootnoteText"/>
        <w:rPr>
          <w:rFonts w:ascii="Times New Roman" w:hAnsi="Times New Roman" w:cs="Times New Roman"/>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w:t>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DCI monitors and reports on violations of children’s rights; in comparing figures, it is important to verify source of information and data gathering method.</w:t>
      </w:r>
    </w:p>
  </w:footnote>
  <w:footnote w:id="38">
    <w:p w:rsidR="00087F5C" w:rsidRPr="0016031C" w:rsidRDefault="00087F5C" w:rsidP="002935B7">
      <w:pPr>
        <w:pStyle w:val="FootnoteText"/>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CAP 2013 Humanitarian Urgent Appeal - United Nations Office for the Coordination of Humanitarian Affairs in the Occupied Palestinian Territory.</w:t>
      </w:r>
    </w:p>
    <w:p w:rsidR="00087F5C" w:rsidRDefault="00087F5C" w:rsidP="002935B7">
      <w:pPr>
        <w:pStyle w:val="FootnoteText"/>
      </w:pPr>
    </w:p>
  </w:footnote>
  <w:footnote w:id="39">
    <w:p w:rsidR="00087F5C" w:rsidRPr="008827A7" w:rsidRDefault="00087F5C" w:rsidP="002935B7">
      <w:pPr>
        <w:pStyle w:val="FootnoteText"/>
        <w:rPr>
          <w:rFonts w:ascii="Times New Roman" w:hAnsi="Times New Roman" w:cs="Times New Roman"/>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w:t>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http://www.freedom.ps</w:t>
      </w:r>
    </w:p>
  </w:footnote>
  <w:footnote w:id="40">
    <w:p w:rsidR="00087F5C" w:rsidRPr="008827A7" w:rsidRDefault="00087F5C" w:rsidP="009914CC">
      <w:pPr>
        <w:pStyle w:val="FootnoteText"/>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UNICEF 2014, Database on Children Harmed by Armed Conflict, Unpublished Data </w:t>
      </w:r>
      <w:r w:rsidRPr="008827A7">
        <w:rPr>
          <w:rFonts w:ascii="Times New Roman" w:hAnsi="Times New Roman" w:cs="Times New Roman"/>
          <w:sz w:val="18"/>
          <w:szCs w:val="18"/>
          <w:rtl/>
        </w:rPr>
        <w:t xml:space="preserve"> .</w:t>
      </w:r>
    </w:p>
  </w:footnote>
  <w:footnote w:id="41">
    <w:p w:rsidR="00087F5C" w:rsidRPr="008827A7" w:rsidRDefault="00087F5C" w:rsidP="002B5CA4">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w:t>
      </w:r>
      <w:hyperlink r:id="rId3" w:history="1">
        <w:r w:rsidRPr="008827A7">
          <w:rPr>
            <w:rStyle w:val="Hyperlink"/>
            <w:rFonts w:ascii="Times New Roman" w:hAnsi="Times New Roman" w:cs="Times New Roman"/>
            <w:color w:val="auto"/>
            <w:sz w:val="18"/>
            <w:szCs w:val="18"/>
          </w:rPr>
          <w:t>http://www.unicef.org/oPt/Children_in_Israeli_Military_Detention_-_Observations_and_Recommendations_- _Bulletin_No._2_-_February_2015.pdf</w:t>
        </w:r>
      </w:hyperlink>
    </w:p>
  </w:footnote>
  <w:footnote w:id="42">
    <w:p w:rsidR="00087F5C" w:rsidRPr="008827A7" w:rsidRDefault="00087F5C" w:rsidP="00303D53">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w:t>
      </w:r>
      <w:hyperlink r:id="rId4" w:history="1">
        <w:r w:rsidRPr="008827A7">
          <w:rPr>
            <w:rStyle w:val="Hyperlink"/>
            <w:rFonts w:ascii="Times New Roman" w:hAnsi="Times New Roman" w:cs="Times New Roman"/>
            <w:color w:val="auto"/>
            <w:sz w:val="18"/>
            <w:szCs w:val="18"/>
          </w:rPr>
          <w:t>http://arabic.dci-palestine.org/statistics</w:t>
        </w:r>
      </w:hyperlink>
    </w:p>
  </w:footnote>
  <w:footnote w:id="43">
    <w:p w:rsidR="00087F5C" w:rsidRPr="008827A7" w:rsidRDefault="00087F5C" w:rsidP="00303D53">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This article was amended under Article 4 of the Decree Law No. ( ) of 2012 due to  the amendment of the Palestinian Child Law No. 7 of 2004</w:t>
      </w:r>
      <w:r w:rsidRPr="008827A7">
        <w:rPr>
          <w:rFonts w:ascii="Times New Roman" w:hAnsi="Times New Roman" w:cs="Times New Roman"/>
          <w:sz w:val="18"/>
          <w:szCs w:val="18"/>
          <w:rtl/>
        </w:rPr>
        <w:t>.</w:t>
      </w:r>
    </w:p>
  </w:footnote>
  <w:footnote w:id="44">
    <w:p w:rsidR="00087F5C" w:rsidRPr="008827A7" w:rsidRDefault="00087F5C" w:rsidP="001626A8">
      <w:pPr>
        <w:spacing w:after="0" w:line="240" w:lineRule="auto"/>
        <w:rPr>
          <w:rFonts w:ascii="Times New Roman" w:hAnsi="Times New Roman" w:cs="Times New Roman"/>
          <w:sz w:val="18"/>
          <w:szCs w:val="18"/>
          <w:rtl/>
        </w:rPr>
      </w:pPr>
      <w:r w:rsidRPr="008827A7">
        <w:rPr>
          <w:rStyle w:val="FootnoteReference"/>
          <w:rFonts w:ascii="Times New Roman" w:hAnsi="Times New Roman" w:cs="Times New Roman"/>
          <w:sz w:val="18"/>
          <w:szCs w:val="18"/>
        </w:rPr>
        <w:footnoteRef/>
      </w:r>
      <w:r w:rsidRPr="008827A7">
        <w:rPr>
          <w:rFonts w:ascii="Times New Roman" w:hAnsi="Times New Roman" w:cs="Times New Roman"/>
          <w:sz w:val="18"/>
          <w:szCs w:val="18"/>
        </w:rPr>
        <w:t xml:space="preserve"> Source: Palestinian Central Bureau of Statistics. Labor force survey data for 2009 and 2014</w:t>
      </w:r>
    </w:p>
    <w:p w:rsidR="00087F5C" w:rsidRPr="00375922" w:rsidRDefault="00087F5C" w:rsidP="004E3853">
      <w:pPr>
        <w:pStyle w:val="FootnoteText"/>
        <w:bidi/>
        <w:rPr>
          <w:rFonts w:asciiTheme="majorBidi" w:hAnsiTheme="majorBidi" w:cstheme="majorBidi"/>
          <w:sz w:val="18"/>
          <w:szCs w:val="18"/>
          <w:rtl/>
        </w:rPr>
      </w:pPr>
    </w:p>
  </w:footnote>
  <w:footnote w:id="45">
    <w:p w:rsidR="00087F5C" w:rsidRPr="008827A7" w:rsidRDefault="00087F5C" w:rsidP="00552A36">
      <w:pPr>
        <w:pStyle w:val="FootnoteText"/>
        <w:rPr>
          <w:rFonts w:ascii="Times New Roman" w:hAnsi="Times New Roman" w:cs="Times New Roman"/>
          <w:sz w:val="18"/>
          <w:szCs w:val="18"/>
        </w:rPr>
      </w:pPr>
      <w:r w:rsidRPr="008827A7">
        <w:rPr>
          <w:rStyle w:val="FootnoteReference"/>
          <w:rFonts w:ascii="Times New Roman" w:hAnsi="Times New Roman" w:cs="Times New Roman"/>
          <w:sz w:val="18"/>
          <w:szCs w:val="18"/>
        </w:rPr>
        <w:footnoteRef/>
      </w:r>
      <w:r>
        <w:rPr>
          <w:rFonts w:ascii="Times New Roman" w:hAnsi="Times New Roman" w:cs="Times New Roman"/>
          <w:sz w:val="18"/>
          <w:szCs w:val="18"/>
        </w:rPr>
        <w:t xml:space="preserve"> </w:t>
      </w:r>
      <w:r w:rsidRPr="008827A7">
        <w:rPr>
          <w:rFonts w:ascii="Times New Roman" w:hAnsi="Times New Roman" w:cs="Times New Roman"/>
          <w:sz w:val="18"/>
          <w:szCs w:val="18"/>
        </w:rPr>
        <w:t>Palestinian Central Bureau of Statistics, 20</w:t>
      </w:r>
      <w:r w:rsidRPr="008827A7">
        <w:rPr>
          <w:rFonts w:ascii="Times New Roman" w:hAnsi="Times New Roman" w:cs="Times New Roman"/>
          <w:sz w:val="18"/>
          <w:szCs w:val="18"/>
          <w:rtl/>
        </w:rPr>
        <w:t>11</w:t>
      </w:r>
      <w:r w:rsidRPr="008827A7">
        <w:rPr>
          <w:rFonts w:ascii="Times New Roman" w:hAnsi="Times New Roman" w:cs="Times New Roman"/>
          <w:sz w:val="18"/>
          <w:szCs w:val="18"/>
        </w:rPr>
        <w:t>.  Poverty in the Palestinian Territory</w:t>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Main Findings Report, 2009-2010.  Ramallah- Palestine</w:t>
      </w:r>
    </w:p>
  </w:footnote>
  <w:footnote w:id="46">
    <w:p w:rsidR="00087F5C" w:rsidRPr="008827A7" w:rsidRDefault="00087F5C" w:rsidP="0037531D">
      <w:pPr>
        <w:pStyle w:val="FootnoteText"/>
        <w:rPr>
          <w:rFonts w:ascii="Times New Roman" w:hAnsi="Times New Roman" w:cs="Times New Roman"/>
          <w:sz w:val="18"/>
          <w:szCs w:val="18"/>
          <w:rtl/>
        </w:rPr>
      </w:pPr>
      <w:r w:rsidRPr="008827A7">
        <w:rPr>
          <w:rFonts w:ascii="Times New Roman" w:hAnsi="Times New Roman" w:cs="Times New Roman"/>
          <w:sz w:val="18"/>
          <w:szCs w:val="18"/>
          <w:vertAlign w:val="superscript"/>
        </w:rPr>
        <w:footnoteRef/>
      </w:r>
      <w:r w:rsidRPr="008827A7">
        <w:rPr>
          <w:rFonts w:ascii="Times New Roman" w:hAnsi="Times New Roman" w:cs="Times New Roman"/>
          <w:sz w:val="18"/>
          <w:szCs w:val="18"/>
        </w:rPr>
        <w:t xml:space="preserve"> PCBS, Press Statement of Poverty Prevalence, 2009, 2010</w:t>
      </w:r>
      <w:r w:rsidRPr="008827A7">
        <w:rPr>
          <w:rFonts w:ascii="Times New Roman" w:hAnsi="Times New Roman" w:cs="Times New Roman"/>
          <w:sz w:val="18"/>
          <w:szCs w:val="18"/>
          <w:rtl/>
        </w:rPr>
        <w:t xml:space="preserve"> </w:t>
      </w:r>
      <w:r w:rsidRPr="008827A7">
        <w:rPr>
          <w:rFonts w:ascii="Times New Roman" w:hAnsi="Times New Roman" w:cs="Times New Roman"/>
          <w:sz w:val="18"/>
          <w:szCs w:val="18"/>
        </w:rPr>
        <w:t xml:space="preserve"> </w:t>
      </w:r>
    </w:p>
  </w:footnote>
  <w:footnote w:id="47">
    <w:p w:rsidR="00087F5C" w:rsidRPr="00DB688F" w:rsidRDefault="00087F5C" w:rsidP="00A42CF9">
      <w:pPr>
        <w:pStyle w:val="FootnoteText"/>
        <w:rPr>
          <w:rFonts w:ascii="Times New Roman" w:hAnsi="Times New Roman" w:cs="Times New Roman"/>
          <w:rtl/>
        </w:rPr>
      </w:pPr>
      <w:r w:rsidRPr="00DB688F">
        <w:rPr>
          <w:rStyle w:val="FootnoteReference"/>
          <w:rFonts w:ascii="Times New Roman" w:hAnsi="Times New Roman" w:cs="Times New Roman"/>
          <w:sz w:val="18"/>
          <w:szCs w:val="18"/>
        </w:rPr>
        <w:footnoteRef/>
      </w:r>
      <w:r w:rsidRPr="00DB688F">
        <w:rPr>
          <w:rFonts w:ascii="Times New Roman" w:hAnsi="Times New Roman" w:cs="Times New Roman"/>
          <w:sz w:val="18"/>
          <w:szCs w:val="18"/>
        </w:rPr>
        <w:t xml:space="preserve"> PCBS, Poverty in the Palestinian Territory, 2010-2011</w:t>
      </w:r>
      <w:r w:rsidRPr="00DB688F">
        <w:rPr>
          <w:rFonts w:ascii="Times New Roman" w:hAnsi="Times New Roman" w:cs="Times New Roman"/>
          <w:sz w:val="18"/>
          <w:szCs w:val="18"/>
          <w:rtl/>
        </w:rPr>
        <w:t>.</w:t>
      </w:r>
    </w:p>
  </w:footnote>
  <w:footnote w:id="48">
    <w:p w:rsidR="00087F5C" w:rsidRPr="00DB688F" w:rsidRDefault="00087F5C" w:rsidP="00216FDB">
      <w:pPr>
        <w:pStyle w:val="FootnoteText"/>
        <w:rPr>
          <w:rFonts w:ascii="Times New Roman" w:hAnsi="Times New Roman" w:cs="Times New Roman"/>
          <w:rtl/>
        </w:rPr>
      </w:pPr>
      <w:r w:rsidRPr="00DB688F">
        <w:rPr>
          <w:rStyle w:val="FootnoteReference"/>
          <w:rFonts w:ascii="Times New Roman" w:hAnsi="Times New Roman" w:cs="Times New Roman"/>
          <w:sz w:val="18"/>
          <w:szCs w:val="18"/>
        </w:rPr>
        <w:footnoteRef/>
      </w:r>
      <w:r w:rsidRPr="00DB688F">
        <w:rPr>
          <w:rFonts w:ascii="Times New Roman" w:hAnsi="Times New Roman" w:cs="Times New Roman"/>
          <w:sz w:val="18"/>
          <w:szCs w:val="18"/>
        </w:rPr>
        <w:t xml:space="preserve"> </w:t>
      </w:r>
      <w:r w:rsidRPr="00DB688F">
        <w:rPr>
          <w:rFonts w:ascii="Times New Roman" w:hAnsi="Times New Roman" w:cs="Times New Roman"/>
          <w:sz w:val="18"/>
          <w:szCs w:val="18"/>
          <w:rtl/>
        </w:rPr>
        <w:t xml:space="preserve"> </w:t>
      </w:r>
      <w:proofErr w:type="spellStart"/>
      <w:r w:rsidRPr="00DB688F">
        <w:rPr>
          <w:rFonts w:ascii="Times New Roman" w:hAnsi="Times New Roman" w:cs="Times New Roman"/>
          <w:sz w:val="18"/>
          <w:szCs w:val="18"/>
        </w:rPr>
        <w:t>MoSA</w:t>
      </w:r>
      <w:proofErr w:type="spellEnd"/>
      <w:r w:rsidRPr="00DB688F">
        <w:rPr>
          <w:rFonts w:ascii="Times New Roman" w:hAnsi="Times New Roman" w:cs="Times New Roman"/>
          <w:sz w:val="18"/>
          <w:szCs w:val="18"/>
        </w:rPr>
        <w:t>, Monetary Assistance Program, 2014.</w:t>
      </w:r>
    </w:p>
  </w:footnote>
  <w:footnote w:id="49">
    <w:p w:rsidR="00087F5C" w:rsidRPr="00DB688F" w:rsidRDefault="00087F5C" w:rsidP="00216FDB">
      <w:pPr>
        <w:pStyle w:val="FootnoteText"/>
        <w:rPr>
          <w:rFonts w:ascii="Times New Roman" w:hAnsi="Times New Roman" w:cs="Times New Roman"/>
          <w:sz w:val="18"/>
          <w:szCs w:val="18"/>
        </w:rPr>
      </w:pPr>
      <w:r w:rsidRPr="00DB688F">
        <w:rPr>
          <w:rStyle w:val="FootnoteReference"/>
          <w:rFonts w:ascii="Times New Roman" w:hAnsi="Times New Roman" w:cs="Times New Roman"/>
          <w:sz w:val="18"/>
          <w:szCs w:val="18"/>
        </w:rPr>
        <w:footnoteRef/>
      </w:r>
      <w:r w:rsidRPr="00DB688F">
        <w:rPr>
          <w:rFonts w:ascii="Times New Roman" w:hAnsi="Times New Roman" w:cs="Times New Roman"/>
          <w:sz w:val="18"/>
          <w:szCs w:val="18"/>
          <w:rtl/>
        </w:rPr>
        <w:t xml:space="preserve"> </w:t>
      </w:r>
      <w:r w:rsidRPr="00DB688F">
        <w:rPr>
          <w:rFonts w:ascii="Times New Roman" w:hAnsi="Times New Roman" w:cs="Times New Roman"/>
          <w:sz w:val="18"/>
          <w:szCs w:val="18"/>
        </w:rPr>
        <w:t>Ministry of Social Affairs - Department of Social Defense.</w:t>
      </w:r>
    </w:p>
  </w:footnote>
  <w:footnote w:id="50">
    <w:p w:rsidR="00087F5C" w:rsidRPr="00BB5CC5" w:rsidRDefault="00087F5C" w:rsidP="00216FDB">
      <w:pPr>
        <w:pStyle w:val="FootnoteText"/>
        <w:rPr>
          <w:rFonts w:ascii="Times New Roman" w:hAnsi="Times New Roman"/>
          <w:sz w:val="18"/>
          <w:szCs w:val="18"/>
          <w:lang w:val="en-ZA"/>
        </w:rPr>
      </w:pPr>
      <w:r w:rsidRPr="00BB5CC5">
        <w:rPr>
          <w:rStyle w:val="FootnoteReference"/>
          <w:rFonts w:ascii="Times New Roman" w:hAnsi="Times New Roman"/>
          <w:sz w:val="18"/>
          <w:szCs w:val="18"/>
        </w:rPr>
        <w:footnoteRef/>
      </w:r>
      <w:r w:rsidRPr="00BB5CC5">
        <w:rPr>
          <w:rFonts w:ascii="Times New Roman" w:hAnsi="Times New Roman"/>
          <w:sz w:val="18"/>
          <w:szCs w:val="18"/>
          <w:rtl/>
        </w:rPr>
        <w:t xml:space="preserve"> </w:t>
      </w:r>
      <w:r w:rsidRPr="00BB5CC5">
        <w:rPr>
          <w:rFonts w:ascii="Times New Roman" w:hAnsi="Times New Roman"/>
          <w:sz w:val="18"/>
          <w:szCs w:val="18"/>
        </w:rPr>
        <w:t>Ministry of Social Affairs - Annual Report of the Department of Social Defense in 2010</w:t>
      </w:r>
      <w:r w:rsidRPr="00BB5CC5">
        <w:rPr>
          <w:rFonts w:ascii="Times New Roman" w:hAnsi="Times New Roman"/>
          <w:color w:val="FF0000"/>
          <w:sz w:val="18"/>
          <w:szCs w:val="18"/>
          <w:rtl/>
        </w:rPr>
        <w:t xml:space="preserve"> </w:t>
      </w:r>
      <w:r w:rsidRPr="00BB5CC5">
        <w:rPr>
          <w:rFonts w:ascii="Times New Roman" w:hAnsi="Times New Roman"/>
          <w:color w:val="FF0000"/>
          <w:sz w:val="18"/>
          <w:szCs w:val="18"/>
          <w:lang w:val="en-ZA"/>
        </w:rPr>
        <w:t>.</w:t>
      </w:r>
    </w:p>
  </w:footnote>
  <w:footnote w:id="51">
    <w:p w:rsidR="00087F5C" w:rsidRPr="00DB688F" w:rsidRDefault="00087F5C" w:rsidP="00DB688F">
      <w:pPr>
        <w:pStyle w:val="FootnoteText"/>
        <w:rPr>
          <w:rFonts w:ascii="Times New Roman" w:hAnsi="Times New Roman" w:cs="Times New Roman"/>
          <w:sz w:val="18"/>
          <w:szCs w:val="18"/>
          <w:rtl/>
        </w:rPr>
      </w:pPr>
      <w:r w:rsidRPr="00DB688F">
        <w:rPr>
          <w:rStyle w:val="FootnoteReference"/>
          <w:rFonts w:ascii="Times New Roman" w:hAnsi="Times New Roman" w:cs="Times New Roman"/>
          <w:sz w:val="18"/>
          <w:szCs w:val="18"/>
        </w:rPr>
        <w:footnoteRef/>
      </w:r>
      <w:r w:rsidRPr="00DB688F">
        <w:rPr>
          <w:rFonts w:ascii="Times New Roman" w:hAnsi="Times New Roman" w:cs="Times New Roman"/>
          <w:sz w:val="18"/>
          <w:szCs w:val="18"/>
        </w:rPr>
        <w:t xml:space="preserve"> Ministry of Social Affairs, Directorate General for Family Affairs, Department of Child Protection – Statistics 2014</w:t>
      </w:r>
    </w:p>
  </w:footnote>
  <w:footnote w:id="52">
    <w:p w:rsidR="00087F5C" w:rsidRPr="00DB688F" w:rsidRDefault="00087F5C" w:rsidP="00A77FE6">
      <w:pPr>
        <w:pStyle w:val="FootnoteText"/>
        <w:rPr>
          <w:rFonts w:ascii="Times New Roman" w:hAnsi="Times New Roman" w:cs="Times New Roman"/>
          <w:sz w:val="18"/>
          <w:szCs w:val="18"/>
          <w:rtl/>
        </w:rPr>
      </w:pPr>
      <w:r w:rsidRPr="00DB688F">
        <w:rPr>
          <w:rStyle w:val="FootnoteReference"/>
          <w:rFonts w:ascii="Times New Roman" w:hAnsi="Times New Roman" w:cs="Times New Roman"/>
          <w:sz w:val="18"/>
          <w:szCs w:val="18"/>
        </w:rPr>
        <w:footnoteRef/>
      </w:r>
      <w:r w:rsidRPr="00DB688F">
        <w:rPr>
          <w:rFonts w:ascii="Times New Roman" w:hAnsi="Times New Roman" w:cs="Times New Roman"/>
          <w:sz w:val="18"/>
          <w:szCs w:val="18"/>
        </w:rPr>
        <w:t xml:space="preserve"> Ministry of Social Affairs, Directorate General for Family Affairs, Department of Child Protection – Statistics 2014 </w:t>
      </w:r>
    </w:p>
  </w:footnote>
  <w:footnote w:id="53">
    <w:p w:rsidR="00087F5C" w:rsidRPr="005E1A78" w:rsidRDefault="00087F5C" w:rsidP="00A77FE6">
      <w:pPr>
        <w:pStyle w:val="FootnoteText"/>
        <w:rPr>
          <w:rFonts w:ascii="Times New Roman" w:hAnsi="Times New Roman" w:cs="Times New Roman"/>
          <w:sz w:val="18"/>
          <w:szCs w:val="18"/>
          <w:rtl/>
        </w:rPr>
      </w:pPr>
      <w:r w:rsidRPr="005E1A78">
        <w:rPr>
          <w:rStyle w:val="FootnoteReference"/>
          <w:rFonts w:ascii="Times New Roman" w:hAnsi="Times New Roman" w:cs="Times New Roman"/>
          <w:sz w:val="18"/>
          <w:szCs w:val="18"/>
        </w:rPr>
        <w:footnoteRef/>
      </w:r>
      <w:r w:rsidRPr="005E1A78">
        <w:rPr>
          <w:rFonts w:ascii="Times New Roman" w:hAnsi="Times New Roman" w:cs="Times New Roman"/>
          <w:sz w:val="18"/>
          <w:szCs w:val="18"/>
        </w:rPr>
        <w:t xml:space="preserve"> </w:t>
      </w:r>
      <w:r w:rsidRPr="005E1A78">
        <w:rPr>
          <w:rFonts w:ascii="Times New Roman" w:hAnsi="Times New Roman" w:cs="Times New Roman"/>
          <w:sz w:val="18"/>
          <w:szCs w:val="18"/>
          <w:lang w:bidi="ar-JO"/>
        </w:rPr>
        <w:t>Palestinian</w:t>
      </w:r>
      <w:r w:rsidRPr="005E1A78">
        <w:rPr>
          <w:rFonts w:ascii="Times New Roman" w:hAnsi="Times New Roman" w:cs="Times New Roman"/>
          <w:sz w:val="18"/>
          <w:szCs w:val="18"/>
          <w:rtl/>
        </w:rPr>
        <w:t xml:space="preserve"> </w:t>
      </w:r>
      <w:r w:rsidRPr="005E1A78">
        <w:rPr>
          <w:rFonts w:ascii="Times New Roman" w:hAnsi="Times New Roman" w:cs="Times New Roman"/>
          <w:sz w:val="18"/>
          <w:szCs w:val="18"/>
        </w:rPr>
        <w:t xml:space="preserve">Central Bureau of Statistics. Survey of violence in Palestinian society, 2011. Report of main results. </w:t>
      </w:r>
    </w:p>
  </w:footnote>
  <w:footnote w:id="54">
    <w:p w:rsidR="00087F5C" w:rsidRPr="00147960" w:rsidRDefault="00087F5C" w:rsidP="005E1A78">
      <w:pPr>
        <w:pStyle w:val="FootnoteText"/>
        <w:rPr>
          <w:rFonts w:ascii="Times New Roman" w:hAnsi="Times New Roman"/>
          <w:sz w:val="18"/>
          <w:szCs w:val="18"/>
        </w:rPr>
      </w:pPr>
      <w:r w:rsidRPr="00147960">
        <w:rPr>
          <w:rStyle w:val="FootnoteReference"/>
          <w:rFonts w:ascii="Times New Roman" w:hAnsi="Times New Roman"/>
          <w:sz w:val="18"/>
          <w:szCs w:val="18"/>
        </w:rPr>
        <w:footnoteRef/>
      </w:r>
      <w:r>
        <w:rPr>
          <w:rFonts w:ascii="Times New Roman" w:hAnsi="Times New Roman"/>
          <w:sz w:val="18"/>
          <w:szCs w:val="18"/>
        </w:rPr>
        <w:t xml:space="preserve"> </w:t>
      </w:r>
      <w:r w:rsidRPr="00147960">
        <w:rPr>
          <w:rFonts w:ascii="Times New Roman" w:hAnsi="Times New Roman"/>
          <w:sz w:val="18"/>
          <w:szCs w:val="18"/>
        </w:rPr>
        <w:t>Males are genetically more vulnerable to disability and morbidity of diseases.</w:t>
      </w:r>
    </w:p>
  </w:footnote>
  <w:footnote w:id="55">
    <w:p w:rsidR="00087F5C" w:rsidRPr="00147960" w:rsidRDefault="00087F5C" w:rsidP="00B10317">
      <w:pPr>
        <w:pStyle w:val="FootnoteText"/>
        <w:rPr>
          <w:rFonts w:ascii="Times New Roman" w:hAnsi="Times New Roman"/>
          <w:sz w:val="18"/>
          <w:szCs w:val="18"/>
        </w:rPr>
      </w:pPr>
      <w:r w:rsidRPr="00147960">
        <w:rPr>
          <w:rStyle w:val="FootnoteReference"/>
          <w:rFonts w:ascii="Times New Roman" w:hAnsi="Times New Roman"/>
          <w:sz w:val="18"/>
          <w:szCs w:val="18"/>
        </w:rPr>
        <w:footnoteRef/>
      </w:r>
      <w:r w:rsidRPr="00147960">
        <w:rPr>
          <w:rFonts w:ascii="Times New Roman" w:hAnsi="Times New Roman"/>
          <w:sz w:val="18"/>
          <w:szCs w:val="18"/>
          <w:rtl/>
        </w:rPr>
        <w:t xml:space="preserve"> </w:t>
      </w:r>
      <w:r w:rsidRPr="00147960">
        <w:rPr>
          <w:rFonts w:ascii="Times New Roman" w:hAnsi="Times New Roman"/>
          <w:sz w:val="18"/>
          <w:szCs w:val="18"/>
        </w:rPr>
        <w:t>Adjustments in education and evaluation of students with special needs - January 2009, Ministry of Education.</w:t>
      </w:r>
    </w:p>
  </w:footnote>
  <w:footnote w:id="56">
    <w:p w:rsidR="00087F5C" w:rsidRPr="005E1A78" w:rsidRDefault="00087F5C" w:rsidP="00677FAD">
      <w:pPr>
        <w:pStyle w:val="FootnoteText"/>
        <w:rPr>
          <w:rFonts w:ascii="Times New Roman" w:hAnsi="Times New Roman" w:cs="Times New Roman"/>
          <w:sz w:val="18"/>
          <w:szCs w:val="18"/>
          <w:rtl/>
        </w:rPr>
      </w:pPr>
      <w:r w:rsidRPr="005E1A78">
        <w:rPr>
          <w:rStyle w:val="FootnoteReference"/>
          <w:rFonts w:ascii="Times New Roman" w:hAnsi="Times New Roman" w:cs="Times New Roman"/>
          <w:sz w:val="18"/>
          <w:szCs w:val="18"/>
        </w:rPr>
        <w:footnoteRef/>
      </w:r>
      <w:r w:rsidRPr="005E1A78">
        <w:rPr>
          <w:rFonts w:ascii="Times New Roman" w:hAnsi="Times New Roman" w:cs="Times New Roman"/>
          <w:sz w:val="18"/>
          <w:szCs w:val="18"/>
        </w:rPr>
        <w:t xml:space="preserve"> </w:t>
      </w:r>
      <w:proofErr w:type="spellStart"/>
      <w:r w:rsidRPr="005E1A78">
        <w:rPr>
          <w:rFonts w:ascii="Times New Roman" w:hAnsi="Times New Roman" w:cs="Times New Roman"/>
          <w:sz w:val="18"/>
          <w:szCs w:val="18"/>
        </w:rPr>
        <w:t>MoSA</w:t>
      </w:r>
      <w:proofErr w:type="spellEnd"/>
      <w:r w:rsidRPr="005E1A78">
        <w:rPr>
          <w:rFonts w:ascii="Times New Roman" w:hAnsi="Times New Roman" w:cs="Times New Roman"/>
          <w:sz w:val="18"/>
          <w:szCs w:val="18"/>
        </w:rPr>
        <w:t>, Directorate General For Disabled Affairs, 2014</w:t>
      </w:r>
      <w:r w:rsidRPr="005E1A78">
        <w:rPr>
          <w:rFonts w:ascii="Times New Roman" w:hAnsi="Times New Roman" w:cs="Times New Roman"/>
          <w:sz w:val="18"/>
          <w:szCs w:val="18"/>
          <w:rtl/>
        </w:rPr>
        <w:t>.</w:t>
      </w:r>
    </w:p>
  </w:footnote>
  <w:footnote w:id="57">
    <w:p w:rsidR="00087F5C" w:rsidRPr="00147960" w:rsidRDefault="00087F5C" w:rsidP="001D013D">
      <w:pPr>
        <w:pStyle w:val="FootnoteText"/>
        <w:rPr>
          <w:rFonts w:ascii="Times New Roman" w:hAnsi="Times New Roman"/>
          <w:sz w:val="18"/>
          <w:szCs w:val="18"/>
        </w:rPr>
      </w:pPr>
      <w:r w:rsidRPr="00147960">
        <w:rPr>
          <w:rStyle w:val="FootnoteReference"/>
          <w:rFonts w:ascii="Times New Roman" w:hAnsi="Times New Roman"/>
          <w:sz w:val="18"/>
          <w:szCs w:val="18"/>
        </w:rPr>
        <w:footnoteRef/>
      </w:r>
      <w:r w:rsidRPr="00147960">
        <w:rPr>
          <w:rFonts w:ascii="Times New Roman" w:hAnsi="Times New Roman"/>
          <w:sz w:val="18"/>
          <w:szCs w:val="18"/>
        </w:rPr>
        <w:t xml:space="preserve"> Statistical Yearbook. General Administration for Educational Planning. Ministry of Education and Higher Education. Gaza 2012-2013</w:t>
      </w:r>
    </w:p>
  </w:footnote>
  <w:footnote w:id="58">
    <w:p w:rsidR="00087F5C" w:rsidRPr="00147960" w:rsidRDefault="00087F5C" w:rsidP="007A418A">
      <w:pPr>
        <w:pStyle w:val="FootnoteText"/>
        <w:rPr>
          <w:rFonts w:ascii="Times New Roman" w:hAnsi="Times New Roman"/>
          <w:sz w:val="18"/>
          <w:szCs w:val="18"/>
        </w:rPr>
      </w:pPr>
      <w:r w:rsidRPr="00147960">
        <w:rPr>
          <w:rStyle w:val="FootnoteReference"/>
          <w:rFonts w:ascii="Times New Roman" w:hAnsi="Times New Roman"/>
          <w:sz w:val="18"/>
          <w:szCs w:val="18"/>
        </w:rPr>
        <w:footnoteRef/>
      </w:r>
      <w:r w:rsidRPr="00147960">
        <w:rPr>
          <w:rFonts w:ascii="Times New Roman" w:hAnsi="Times New Roman"/>
          <w:sz w:val="18"/>
          <w:szCs w:val="18"/>
          <w:rtl/>
        </w:rPr>
        <w:t xml:space="preserve"> </w:t>
      </w:r>
      <w:r w:rsidRPr="00147960">
        <w:rPr>
          <w:rFonts w:ascii="Times New Roman" w:hAnsi="Times New Roman"/>
          <w:sz w:val="18"/>
          <w:szCs w:val="18"/>
        </w:rPr>
        <w:t>Baseline survey for support to the quality education project in the OPT. Save the Children, 2013.</w:t>
      </w:r>
    </w:p>
  </w:footnote>
  <w:footnote w:id="59">
    <w:p w:rsidR="00087F5C" w:rsidRPr="005E1A78" w:rsidRDefault="00087F5C" w:rsidP="00BD09EF">
      <w:pPr>
        <w:pStyle w:val="FootnoteText"/>
        <w:rPr>
          <w:rFonts w:ascii="Times New Roman" w:hAnsi="Times New Roman" w:cs="Times New Roman"/>
          <w:rtl/>
        </w:rPr>
      </w:pPr>
      <w:r w:rsidRPr="005E1A78">
        <w:rPr>
          <w:rStyle w:val="FootnoteReference"/>
          <w:rFonts w:ascii="Times New Roman" w:hAnsi="Times New Roman" w:cs="Times New Roman"/>
          <w:sz w:val="18"/>
          <w:szCs w:val="18"/>
        </w:rPr>
        <w:footnoteRef/>
      </w:r>
      <w:r w:rsidRPr="005E1A78">
        <w:rPr>
          <w:rFonts w:ascii="Times New Roman" w:hAnsi="Times New Roman" w:cs="Times New Roman"/>
          <w:sz w:val="18"/>
          <w:szCs w:val="18"/>
        </w:rPr>
        <w:t xml:space="preserve"> PCBS 2015, </w:t>
      </w:r>
      <w:proofErr w:type="spellStart"/>
      <w:r w:rsidRPr="00A605E2">
        <w:rPr>
          <w:rFonts w:ascii="Times New Roman" w:hAnsi="Times New Roman" w:cs="Times New Roman"/>
          <w:sz w:val="18"/>
          <w:szCs w:val="18"/>
        </w:rPr>
        <w:t>Mult</w:t>
      </w:r>
      <w:r>
        <w:rPr>
          <w:rFonts w:ascii="Times New Roman" w:hAnsi="Times New Roman" w:cs="Times New Roman"/>
          <w:sz w:val="18"/>
          <w:szCs w:val="18"/>
        </w:rPr>
        <w:t>ple</w:t>
      </w:r>
      <w:proofErr w:type="spellEnd"/>
      <w:r w:rsidRPr="00A605E2">
        <w:rPr>
          <w:rFonts w:ascii="Times New Roman" w:hAnsi="Times New Roman" w:cs="Times New Roman"/>
          <w:sz w:val="18"/>
          <w:szCs w:val="18"/>
        </w:rPr>
        <w:t xml:space="preserve"> Indicator Cluster Survey</w:t>
      </w:r>
      <w:r w:rsidRPr="005E1A78">
        <w:rPr>
          <w:rFonts w:ascii="Times New Roman" w:hAnsi="Times New Roman" w:cs="Times New Roman"/>
          <w:sz w:val="18"/>
          <w:szCs w:val="18"/>
        </w:rPr>
        <w:t xml:space="preserve"> 2014, Unpublished Data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1C122557"/>
    <w:multiLevelType w:val="multilevel"/>
    <w:tmpl w:val="65D89DAE"/>
    <w:lvl w:ilvl="0">
      <w:start w:val="1"/>
      <w:numFmt w:val="decimal"/>
      <w:lvlText w:val="%1"/>
      <w:lvlJc w:val="left"/>
      <w:pPr>
        <w:ind w:left="405" w:hanging="405"/>
      </w:pPr>
      <w:rPr>
        <w:rFonts w:cs="Simplified Arabic" w:hint="default"/>
        <w:sz w:val="24"/>
      </w:rPr>
    </w:lvl>
    <w:lvl w:ilvl="1">
      <w:start w:val="1"/>
      <w:numFmt w:val="decimal"/>
      <w:lvlText w:val="%1.%2"/>
      <w:lvlJc w:val="left"/>
      <w:pPr>
        <w:ind w:left="405" w:hanging="405"/>
      </w:pPr>
      <w:rPr>
        <w:rFonts w:cs="Simplified Arabic" w:hint="default"/>
        <w:sz w:val="24"/>
      </w:rPr>
    </w:lvl>
    <w:lvl w:ilvl="2">
      <w:start w:val="1"/>
      <w:numFmt w:val="decimal"/>
      <w:lvlText w:val="%1.%2.%3"/>
      <w:lvlJc w:val="left"/>
      <w:pPr>
        <w:ind w:left="1202" w:hanging="720"/>
      </w:pPr>
      <w:rPr>
        <w:rFonts w:cs="Simplified Arabic" w:hint="default"/>
        <w:sz w:val="24"/>
      </w:rPr>
    </w:lvl>
    <w:lvl w:ilvl="3">
      <w:start w:val="1"/>
      <w:numFmt w:val="decimal"/>
      <w:lvlText w:val="%1.%2.%3.%4"/>
      <w:lvlJc w:val="left"/>
      <w:pPr>
        <w:ind w:left="1443" w:hanging="720"/>
      </w:pPr>
      <w:rPr>
        <w:rFonts w:cs="Simplified Arabic" w:hint="default"/>
        <w:sz w:val="24"/>
      </w:rPr>
    </w:lvl>
    <w:lvl w:ilvl="4">
      <w:start w:val="1"/>
      <w:numFmt w:val="decimal"/>
      <w:lvlText w:val="%1.%2.%3.%4.%5"/>
      <w:lvlJc w:val="left"/>
      <w:pPr>
        <w:ind w:left="2044" w:hanging="1080"/>
      </w:pPr>
      <w:rPr>
        <w:rFonts w:cs="Simplified Arabic" w:hint="default"/>
        <w:sz w:val="24"/>
      </w:rPr>
    </w:lvl>
    <w:lvl w:ilvl="5">
      <w:start w:val="1"/>
      <w:numFmt w:val="decimal"/>
      <w:lvlText w:val="%1.%2.%3.%4.%5.%6"/>
      <w:lvlJc w:val="left"/>
      <w:pPr>
        <w:ind w:left="2285" w:hanging="1080"/>
      </w:pPr>
      <w:rPr>
        <w:rFonts w:cs="Simplified Arabic" w:hint="default"/>
        <w:sz w:val="24"/>
      </w:rPr>
    </w:lvl>
    <w:lvl w:ilvl="6">
      <w:start w:val="1"/>
      <w:numFmt w:val="decimal"/>
      <w:lvlText w:val="%1.%2.%3.%4.%5.%6.%7"/>
      <w:lvlJc w:val="left"/>
      <w:pPr>
        <w:ind w:left="2886" w:hanging="1440"/>
      </w:pPr>
      <w:rPr>
        <w:rFonts w:cs="Simplified Arabic" w:hint="default"/>
        <w:sz w:val="24"/>
      </w:rPr>
    </w:lvl>
    <w:lvl w:ilvl="7">
      <w:start w:val="1"/>
      <w:numFmt w:val="decimal"/>
      <w:lvlText w:val="%1.%2.%3.%4.%5.%6.%7.%8"/>
      <w:lvlJc w:val="left"/>
      <w:pPr>
        <w:ind w:left="3127" w:hanging="1440"/>
      </w:pPr>
      <w:rPr>
        <w:rFonts w:cs="Simplified Arabic" w:hint="default"/>
        <w:sz w:val="24"/>
      </w:rPr>
    </w:lvl>
    <w:lvl w:ilvl="8">
      <w:start w:val="1"/>
      <w:numFmt w:val="decimal"/>
      <w:lvlText w:val="%1.%2.%3.%4.%5.%6.%7.%8.%9"/>
      <w:lvlJc w:val="left"/>
      <w:pPr>
        <w:ind w:left="3368" w:hanging="1440"/>
      </w:pPr>
      <w:rPr>
        <w:rFonts w:cs="Simplified Arabic" w:hint="default"/>
        <w:sz w:val="24"/>
      </w:rPr>
    </w:lvl>
  </w:abstractNum>
  <w:abstractNum w:abstractNumId="2">
    <w:nsid w:val="245D4EE9"/>
    <w:multiLevelType w:val="multilevel"/>
    <w:tmpl w:val="26D2B85C"/>
    <w:lvl w:ilvl="0">
      <w:start w:val="1"/>
      <w:numFmt w:val="decimal"/>
      <w:lvlText w:val="%1"/>
      <w:lvlJc w:val="left"/>
      <w:pPr>
        <w:ind w:left="360" w:hanging="360"/>
      </w:pPr>
      <w:rPr>
        <w:rFonts w:hint="default"/>
      </w:rPr>
    </w:lvl>
    <w:lvl w:ilvl="1">
      <w:start w:val="3"/>
      <w:numFmt w:val="decimal"/>
      <w:lvlText w:val="%1.%2"/>
      <w:lvlJc w:val="left"/>
      <w:pPr>
        <w:ind w:left="601" w:hanging="360"/>
      </w:pPr>
      <w:rPr>
        <w:rFonts w:hint="default"/>
      </w:rPr>
    </w:lvl>
    <w:lvl w:ilvl="2">
      <w:start w:val="1"/>
      <w:numFmt w:val="decimal"/>
      <w:lvlText w:val="%1.%2.%3"/>
      <w:lvlJc w:val="left"/>
      <w:pPr>
        <w:ind w:left="1202" w:hanging="720"/>
      </w:pPr>
      <w:rPr>
        <w:rFonts w:hint="default"/>
      </w:rPr>
    </w:lvl>
    <w:lvl w:ilvl="3">
      <w:start w:val="1"/>
      <w:numFmt w:val="decimal"/>
      <w:lvlText w:val="%1.%2.%3.%4"/>
      <w:lvlJc w:val="left"/>
      <w:pPr>
        <w:ind w:left="1443" w:hanging="720"/>
      </w:pPr>
      <w:rPr>
        <w:rFonts w:hint="default"/>
      </w:rPr>
    </w:lvl>
    <w:lvl w:ilvl="4">
      <w:start w:val="1"/>
      <w:numFmt w:val="decimal"/>
      <w:lvlText w:val="%1.%2.%3.%4.%5"/>
      <w:lvlJc w:val="left"/>
      <w:pPr>
        <w:ind w:left="1684" w:hanging="720"/>
      </w:pPr>
      <w:rPr>
        <w:rFonts w:hint="default"/>
      </w:rPr>
    </w:lvl>
    <w:lvl w:ilvl="5">
      <w:start w:val="1"/>
      <w:numFmt w:val="decimal"/>
      <w:lvlText w:val="%1.%2.%3.%4.%5.%6"/>
      <w:lvlJc w:val="left"/>
      <w:pPr>
        <w:ind w:left="2285" w:hanging="1080"/>
      </w:pPr>
      <w:rPr>
        <w:rFonts w:hint="default"/>
      </w:rPr>
    </w:lvl>
    <w:lvl w:ilvl="6">
      <w:start w:val="1"/>
      <w:numFmt w:val="decimal"/>
      <w:lvlText w:val="%1.%2.%3.%4.%5.%6.%7"/>
      <w:lvlJc w:val="left"/>
      <w:pPr>
        <w:ind w:left="2526" w:hanging="1080"/>
      </w:pPr>
      <w:rPr>
        <w:rFonts w:hint="default"/>
      </w:rPr>
    </w:lvl>
    <w:lvl w:ilvl="7">
      <w:start w:val="1"/>
      <w:numFmt w:val="decimal"/>
      <w:lvlText w:val="%1.%2.%3.%4.%5.%6.%7.%8"/>
      <w:lvlJc w:val="left"/>
      <w:pPr>
        <w:ind w:left="3127" w:hanging="1440"/>
      </w:pPr>
      <w:rPr>
        <w:rFonts w:hint="default"/>
      </w:rPr>
    </w:lvl>
    <w:lvl w:ilvl="8">
      <w:start w:val="1"/>
      <w:numFmt w:val="decimal"/>
      <w:lvlText w:val="%1.%2.%3.%4.%5.%6.%7.%8.%9"/>
      <w:lvlJc w:val="left"/>
      <w:pPr>
        <w:ind w:left="3368" w:hanging="1440"/>
      </w:pPr>
      <w:rPr>
        <w:rFonts w:hint="default"/>
      </w:rPr>
    </w:lvl>
  </w:abstractNum>
  <w:abstractNum w:abstractNumId="3">
    <w:nsid w:val="35510FDA"/>
    <w:multiLevelType w:val="hybridMultilevel"/>
    <w:tmpl w:val="3C40B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7F0288D"/>
    <w:multiLevelType w:val="hybridMultilevel"/>
    <w:tmpl w:val="B93A6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20A48F5"/>
    <w:multiLevelType w:val="hybridMultilevel"/>
    <w:tmpl w:val="04080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3205AAC"/>
    <w:multiLevelType w:val="hybridMultilevel"/>
    <w:tmpl w:val="6616C0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4B484986"/>
    <w:multiLevelType w:val="hybridMultilevel"/>
    <w:tmpl w:val="49940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2EF5870"/>
    <w:multiLevelType w:val="hybridMultilevel"/>
    <w:tmpl w:val="B85E5D8A"/>
    <w:lvl w:ilvl="0" w:tplc="14FC8E9A">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D4856BE"/>
    <w:multiLevelType w:val="multilevel"/>
    <w:tmpl w:val="65D89DAE"/>
    <w:lvl w:ilvl="0">
      <w:start w:val="1"/>
      <w:numFmt w:val="decimal"/>
      <w:lvlText w:val="%1"/>
      <w:lvlJc w:val="left"/>
      <w:pPr>
        <w:ind w:left="405" w:hanging="405"/>
      </w:pPr>
      <w:rPr>
        <w:rFonts w:cs="Simplified Arabic" w:hint="default"/>
        <w:sz w:val="24"/>
      </w:rPr>
    </w:lvl>
    <w:lvl w:ilvl="1">
      <w:start w:val="1"/>
      <w:numFmt w:val="decimal"/>
      <w:lvlText w:val="%1.%2"/>
      <w:lvlJc w:val="left"/>
      <w:pPr>
        <w:ind w:left="405" w:hanging="405"/>
      </w:pPr>
      <w:rPr>
        <w:rFonts w:cs="Simplified Arabic" w:hint="default"/>
        <w:sz w:val="24"/>
      </w:rPr>
    </w:lvl>
    <w:lvl w:ilvl="2">
      <w:start w:val="1"/>
      <w:numFmt w:val="decimal"/>
      <w:lvlText w:val="%1.%2.%3"/>
      <w:lvlJc w:val="left"/>
      <w:pPr>
        <w:ind w:left="1202" w:hanging="720"/>
      </w:pPr>
      <w:rPr>
        <w:rFonts w:cs="Simplified Arabic" w:hint="default"/>
        <w:sz w:val="24"/>
      </w:rPr>
    </w:lvl>
    <w:lvl w:ilvl="3">
      <w:start w:val="1"/>
      <w:numFmt w:val="decimal"/>
      <w:lvlText w:val="%1.%2.%3.%4"/>
      <w:lvlJc w:val="left"/>
      <w:pPr>
        <w:ind w:left="1443" w:hanging="720"/>
      </w:pPr>
      <w:rPr>
        <w:rFonts w:cs="Simplified Arabic" w:hint="default"/>
        <w:sz w:val="24"/>
      </w:rPr>
    </w:lvl>
    <w:lvl w:ilvl="4">
      <w:start w:val="1"/>
      <w:numFmt w:val="decimal"/>
      <w:lvlText w:val="%1.%2.%3.%4.%5"/>
      <w:lvlJc w:val="left"/>
      <w:pPr>
        <w:ind w:left="2044" w:hanging="1080"/>
      </w:pPr>
      <w:rPr>
        <w:rFonts w:cs="Simplified Arabic" w:hint="default"/>
        <w:sz w:val="24"/>
      </w:rPr>
    </w:lvl>
    <w:lvl w:ilvl="5">
      <w:start w:val="1"/>
      <w:numFmt w:val="decimal"/>
      <w:lvlText w:val="%1.%2.%3.%4.%5.%6"/>
      <w:lvlJc w:val="left"/>
      <w:pPr>
        <w:ind w:left="2285" w:hanging="1080"/>
      </w:pPr>
      <w:rPr>
        <w:rFonts w:cs="Simplified Arabic" w:hint="default"/>
        <w:sz w:val="24"/>
      </w:rPr>
    </w:lvl>
    <w:lvl w:ilvl="6">
      <w:start w:val="1"/>
      <w:numFmt w:val="decimal"/>
      <w:lvlText w:val="%1.%2.%3.%4.%5.%6.%7"/>
      <w:lvlJc w:val="left"/>
      <w:pPr>
        <w:ind w:left="2886" w:hanging="1440"/>
      </w:pPr>
      <w:rPr>
        <w:rFonts w:cs="Simplified Arabic" w:hint="default"/>
        <w:sz w:val="24"/>
      </w:rPr>
    </w:lvl>
    <w:lvl w:ilvl="7">
      <w:start w:val="1"/>
      <w:numFmt w:val="decimal"/>
      <w:lvlText w:val="%1.%2.%3.%4.%5.%6.%7.%8"/>
      <w:lvlJc w:val="left"/>
      <w:pPr>
        <w:ind w:left="3127" w:hanging="1440"/>
      </w:pPr>
      <w:rPr>
        <w:rFonts w:cs="Simplified Arabic" w:hint="default"/>
        <w:sz w:val="24"/>
      </w:rPr>
    </w:lvl>
    <w:lvl w:ilvl="8">
      <w:start w:val="1"/>
      <w:numFmt w:val="decimal"/>
      <w:lvlText w:val="%1.%2.%3.%4.%5.%6.%7.%8.%9"/>
      <w:lvlJc w:val="left"/>
      <w:pPr>
        <w:ind w:left="3368" w:hanging="1440"/>
      </w:pPr>
      <w:rPr>
        <w:rFonts w:cs="Simplified Arabic" w:hint="default"/>
        <w:sz w:val="24"/>
      </w:rPr>
    </w:lvl>
  </w:abstractNum>
  <w:abstractNum w:abstractNumId="10">
    <w:nsid w:val="654B28AE"/>
    <w:multiLevelType w:val="hybridMultilevel"/>
    <w:tmpl w:val="B5C83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8107D5A"/>
    <w:multiLevelType w:val="hybridMultilevel"/>
    <w:tmpl w:val="8988AD84"/>
    <w:lvl w:ilvl="0" w:tplc="0C66180A">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1"/>
  </w:num>
  <w:num w:numId="4">
    <w:abstractNumId w:val="6"/>
  </w:num>
  <w:num w:numId="5">
    <w:abstractNumId w:val="2"/>
  </w:num>
  <w:num w:numId="6">
    <w:abstractNumId w:val="9"/>
  </w:num>
  <w:num w:numId="7">
    <w:abstractNumId w:val="3"/>
  </w:num>
  <w:num w:numId="8">
    <w:abstractNumId w:val="10"/>
  </w:num>
  <w:num w:numId="9">
    <w:abstractNumId w:val="4"/>
  </w:num>
  <w:num w:numId="10">
    <w:abstractNumId w:val="7"/>
  </w:num>
  <w:num w:numId="11">
    <w:abstractNumId w:val="5"/>
  </w:num>
  <w:num w:numId="12">
    <w:abstractNumId w:val="8"/>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proofState w:spelling="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rsids>
    <w:rsidRoot w:val="003A5C4E"/>
    <w:rsid w:val="0000013B"/>
    <w:rsid w:val="000008FD"/>
    <w:rsid w:val="000024C4"/>
    <w:rsid w:val="00002871"/>
    <w:rsid w:val="00003D31"/>
    <w:rsid w:val="00003EB3"/>
    <w:rsid w:val="00004594"/>
    <w:rsid w:val="00004976"/>
    <w:rsid w:val="0000508A"/>
    <w:rsid w:val="00005F89"/>
    <w:rsid w:val="00007645"/>
    <w:rsid w:val="00007C24"/>
    <w:rsid w:val="00007C53"/>
    <w:rsid w:val="00007F9E"/>
    <w:rsid w:val="00010369"/>
    <w:rsid w:val="000103C3"/>
    <w:rsid w:val="00011226"/>
    <w:rsid w:val="000120AC"/>
    <w:rsid w:val="00013E08"/>
    <w:rsid w:val="0001458B"/>
    <w:rsid w:val="000146D6"/>
    <w:rsid w:val="0001530A"/>
    <w:rsid w:val="00015321"/>
    <w:rsid w:val="00015A73"/>
    <w:rsid w:val="00015DCA"/>
    <w:rsid w:val="000172D9"/>
    <w:rsid w:val="0001795C"/>
    <w:rsid w:val="00017F9C"/>
    <w:rsid w:val="00020AC3"/>
    <w:rsid w:val="000210A2"/>
    <w:rsid w:val="00021811"/>
    <w:rsid w:val="0002239F"/>
    <w:rsid w:val="00022473"/>
    <w:rsid w:val="00022D6A"/>
    <w:rsid w:val="00022F40"/>
    <w:rsid w:val="000242CC"/>
    <w:rsid w:val="00024507"/>
    <w:rsid w:val="0002455C"/>
    <w:rsid w:val="00024A9C"/>
    <w:rsid w:val="00024D70"/>
    <w:rsid w:val="00025201"/>
    <w:rsid w:val="00026ACC"/>
    <w:rsid w:val="00026D17"/>
    <w:rsid w:val="000278D0"/>
    <w:rsid w:val="00027C34"/>
    <w:rsid w:val="00030AC6"/>
    <w:rsid w:val="00030CE4"/>
    <w:rsid w:val="0003113C"/>
    <w:rsid w:val="000314CA"/>
    <w:rsid w:val="00031C9F"/>
    <w:rsid w:val="000332EE"/>
    <w:rsid w:val="0003337E"/>
    <w:rsid w:val="0003339F"/>
    <w:rsid w:val="000334F0"/>
    <w:rsid w:val="000335BD"/>
    <w:rsid w:val="00033BB6"/>
    <w:rsid w:val="000345EE"/>
    <w:rsid w:val="00035095"/>
    <w:rsid w:val="00035F6F"/>
    <w:rsid w:val="0003624A"/>
    <w:rsid w:val="00036CEB"/>
    <w:rsid w:val="00040CB2"/>
    <w:rsid w:val="0004178D"/>
    <w:rsid w:val="000417E7"/>
    <w:rsid w:val="00041B1E"/>
    <w:rsid w:val="0004234F"/>
    <w:rsid w:val="00042494"/>
    <w:rsid w:val="000427E8"/>
    <w:rsid w:val="00042AFA"/>
    <w:rsid w:val="00043B4A"/>
    <w:rsid w:val="00043F9C"/>
    <w:rsid w:val="00044373"/>
    <w:rsid w:val="00044D3B"/>
    <w:rsid w:val="000450F1"/>
    <w:rsid w:val="000453A6"/>
    <w:rsid w:val="00045821"/>
    <w:rsid w:val="000462A6"/>
    <w:rsid w:val="000479F2"/>
    <w:rsid w:val="00047AFD"/>
    <w:rsid w:val="00050613"/>
    <w:rsid w:val="00050A02"/>
    <w:rsid w:val="00050A0E"/>
    <w:rsid w:val="00050EBC"/>
    <w:rsid w:val="00050F7D"/>
    <w:rsid w:val="00051FD6"/>
    <w:rsid w:val="00052A6A"/>
    <w:rsid w:val="00052D29"/>
    <w:rsid w:val="0005314B"/>
    <w:rsid w:val="00053E9C"/>
    <w:rsid w:val="000543D8"/>
    <w:rsid w:val="00055000"/>
    <w:rsid w:val="000553CB"/>
    <w:rsid w:val="00055BD4"/>
    <w:rsid w:val="00055EB0"/>
    <w:rsid w:val="00056575"/>
    <w:rsid w:val="000568B9"/>
    <w:rsid w:val="00056A1B"/>
    <w:rsid w:val="00056E0B"/>
    <w:rsid w:val="00056F34"/>
    <w:rsid w:val="00057657"/>
    <w:rsid w:val="00057739"/>
    <w:rsid w:val="0006059E"/>
    <w:rsid w:val="00061907"/>
    <w:rsid w:val="0006487B"/>
    <w:rsid w:val="00064B23"/>
    <w:rsid w:val="00064B61"/>
    <w:rsid w:val="0006530B"/>
    <w:rsid w:val="000655A1"/>
    <w:rsid w:val="00066486"/>
    <w:rsid w:val="000666EC"/>
    <w:rsid w:val="00067717"/>
    <w:rsid w:val="00067E4B"/>
    <w:rsid w:val="00070C78"/>
    <w:rsid w:val="0007191B"/>
    <w:rsid w:val="00071B8A"/>
    <w:rsid w:val="0007205D"/>
    <w:rsid w:val="00072641"/>
    <w:rsid w:val="00072C1A"/>
    <w:rsid w:val="00072F5A"/>
    <w:rsid w:val="00073898"/>
    <w:rsid w:val="0007400E"/>
    <w:rsid w:val="00074586"/>
    <w:rsid w:val="000745ED"/>
    <w:rsid w:val="00074700"/>
    <w:rsid w:val="000747C0"/>
    <w:rsid w:val="00075F93"/>
    <w:rsid w:val="000766AD"/>
    <w:rsid w:val="00076937"/>
    <w:rsid w:val="00076A62"/>
    <w:rsid w:val="000775F5"/>
    <w:rsid w:val="00077919"/>
    <w:rsid w:val="00077FE4"/>
    <w:rsid w:val="000811A7"/>
    <w:rsid w:val="000812CF"/>
    <w:rsid w:val="0008152B"/>
    <w:rsid w:val="00081E47"/>
    <w:rsid w:val="000823E8"/>
    <w:rsid w:val="00082856"/>
    <w:rsid w:val="0008298D"/>
    <w:rsid w:val="00082C7B"/>
    <w:rsid w:val="00082EFF"/>
    <w:rsid w:val="00083790"/>
    <w:rsid w:val="00083E55"/>
    <w:rsid w:val="000841C7"/>
    <w:rsid w:val="00084499"/>
    <w:rsid w:val="000850E2"/>
    <w:rsid w:val="00085821"/>
    <w:rsid w:val="00086BFE"/>
    <w:rsid w:val="00086CF2"/>
    <w:rsid w:val="000876EF"/>
    <w:rsid w:val="00087756"/>
    <w:rsid w:val="00087BDC"/>
    <w:rsid w:val="00087EBE"/>
    <w:rsid w:val="00087F5C"/>
    <w:rsid w:val="000901C0"/>
    <w:rsid w:val="000901DC"/>
    <w:rsid w:val="0009189F"/>
    <w:rsid w:val="000928B5"/>
    <w:rsid w:val="00092FA4"/>
    <w:rsid w:val="00093F4B"/>
    <w:rsid w:val="0009420D"/>
    <w:rsid w:val="000946F8"/>
    <w:rsid w:val="00094B71"/>
    <w:rsid w:val="0009568B"/>
    <w:rsid w:val="000957D3"/>
    <w:rsid w:val="00095F47"/>
    <w:rsid w:val="0009687A"/>
    <w:rsid w:val="000969A3"/>
    <w:rsid w:val="00097477"/>
    <w:rsid w:val="00097575"/>
    <w:rsid w:val="0009792A"/>
    <w:rsid w:val="00097D66"/>
    <w:rsid w:val="000A03BD"/>
    <w:rsid w:val="000A1528"/>
    <w:rsid w:val="000A18DA"/>
    <w:rsid w:val="000A195D"/>
    <w:rsid w:val="000A1C27"/>
    <w:rsid w:val="000A232D"/>
    <w:rsid w:val="000A2855"/>
    <w:rsid w:val="000A303E"/>
    <w:rsid w:val="000A338D"/>
    <w:rsid w:val="000A4155"/>
    <w:rsid w:val="000A419F"/>
    <w:rsid w:val="000A48E0"/>
    <w:rsid w:val="000A4A04"/>
    <w:rsid w:val="000A4BC1"/>
    <w:rsid w:val="000A5D11"/>
    <w:rsid w:val="000A745A"/>
    <w:rsid w:val="000A74B7"/>
    <w:rsid w:val="000B00B8"/>
    <w:rsid w:val="000B1D01"/>
    <w:rsid w:val="000B20A4"/>
    <w:rsid w:val="000B2561"/>
    <w:rsid w:val="000B2CBE"/>
    <w:rsid w:val="000B3464"/>
    <w:rsid w:val="000B473E"/>
    <w:rsid w:val="000B510D"/>
    <w:rsid w:val="000B693E"/>
    <w:rsid w:val="000B7B7B"/>
    <w:rsid w:val="000C0128"/>
    <w:rsid w:val="000C07EA"/>
    <w:rsid w:val="000C0DBF"/>
    <w:rsid w:val="000C1591"/>
    <w:rsid w:val="000C17C6"/>
    <w:rsid w:val="000C1C07"/>
    <w:rsid w:val="000C218B"/>
    <w:rsid w:val="000C2620"/>
    <w:rsid w:val="000C2668"/>
    <w:rsid w:val="000C272B"/>
    <w:rsid w:val="000C3AAA"/>
    <w:rsid w:val="000C4036"/>
    <w:rsid w:val="000C470F"/>
    <w:rsid w:val="000C4F99"/>
    <w:rsid w:val="000C5048"/>
    <w:rsid w:val="000C508A"/>
    <w:rsid w:val="000C50ED"/>
    <w:rsid w:val="000C51ED"/>
    <w:rsid w:val="000C52BA"/>
    <w:rsid w:val="000C5A44"/>
    <w:rsid w:val="000C6580"/>
    <w:rsid w:val="000C6D21"/>
    <w:rsid w:val="000C7B22"/>
    <w:rsid w:val="000D0D2E"/>
    <w:rsid w:val="000D0EE9"/>
    <w:rsid w:val="000D1702"/>
    <w:rsid w:val="000D17EE"/>
    <w:rsid w:val="000D1C6E"/>
    <w:rsid w:val="000D221D"/>
    <w:rsid w:val="000D3B7D"/>
    <w:rsid w:val="000D3E87"/>
    <w:rsid w:val="000D452F"/>
    <w:rsid w:val="000D4704"/>
    <w:rsid w:val="000D531D"/>
    <w:rsid w:val="000D5446"/>
    <w:rsid w:val="000D5471"/>
    <w:rsid w:val="000D5493"/>
    <w:rsid w:val="000D680E"/>
    <w:rsid w:val="000D6C53"/>
    <w:rsid w:val="000D70A5"/>
    <w:rsid w:val="000D710D"/>
    <w:rsid w:val="000D7934"/>
    <w:rsid w:val="000D7AC7"/>
    <w:rsid w:val="000D7FDD"/>
    <w:rsid w:val="000E00D9"/>
    <w:rsid w:val="000E02B9"/>
    <w:rsid w:val="000E059D"/>
    <w:rsid w:val="000E0C7A"/>
    <w:rsid w:val="000E1508"/>
    <w:rsid w:val="000E1CE2"/>
    <w:rsid w:val="000E1F6B"/>
    <w:rsid w:val="000E263B"/>
    <w:rsid w:val="000E2892"/>
    <w:rsid w:val="000E2B22"/>
    <w:rsid w:val="000E2DA2"/>
    <w:rsid w:val="000E32CC"/>
    <w:rsid w:val="000E352D"/>
    <w:rsid w:val="000E38E6"/>
    <w:rsid w:val="000E4908"/>
    <w:rsid w:val="000E55F3"/>
    <w:rsid w:val="000E5C60"/>
    <w:rsid w:val="000E6269"/>
    <w:rsid w:val="000E7A0A"/>
    <w:rsid w:val="000F14DC"/>
    <w:rsid w:val="000F1A7F"/>
    <w:rsid w:val="000F1C11"/>
    <w:rsid w:val="000F2463"/>
    <w:rsid w:val="000F24FB"/>
    <w:rsid w:val="000F39A1"/>
    <w:rsid w:val="000F3EAF"/>
    <w:rsid w:val="000F44F8"/>
    <w:rsid w:val="000F5754"/>
    <w:rsid w:val="000F5A78"/>
    <w:rsid w:val="000F5F5B"/>
    <w:rsid w:val="000F6A83"/>
    <w:rsid w:val="000F7051"/>
    <w:rsid w:val="000F7B42"/>
    <w:rsid w:val="00100CEB"/>
    <w:rsid w:val="00100EFE"/>
    <w:rsid w:val="00101A36"/>
    <w:rsid w:val="0010202D"/>
    <w:rsid w:val="001039C1"/>
    <w:rsid w:val="00103D2B"/>
    <w:rsid w:val="00104404"/>
    <w:rsid w:val="00104492"/>
    <w:rsid w:val="00104520"/>
    <w:rsid w:val="00104D0A"/>
    <w:rsid w:val="00105004"/>
    <w:rsid w:val="00105869"/>
    <w:rsid w:val="0010626A"/>
    <w:rsid w:val="001068B6"/>
    <w:rsid w:val="00106E65"/>
    <w:rsid w:val="0010770F"/>
    <w:rsid w:val="00107A44"/>
    <w:rsid w:val="00107B78"/>
    <w:rsid w:val="001101DF"/>
    <w:rsid w:val="001102BC"/>
    <w:rsid w:val="0011116D"/>
    <w:rsid w:val="00111541"/>
    <w:rsid w:val="001118BC"/>
    <w:rsid w:val="00111E6D"/>
    <w:rsid w:val="001130D3"/>
    <w:rsid w:val="001131DC"/>
    <w:rsid w:val="00113718"/>
    <w:rsid w:val="00114218"/>
    <w:rsid w:val="00114A1F"/>
    <w:rsid w:val="0011514C"/>
    <w:rsid w:val="00115589"/>
    <w:rsid w:val="001155F3"/>
    <w:rsid w:val="00115A26"/>
    <w:rsid w:val="00115EE7"/>
    <w:rsid w:val="00116C07"/>
    <w:rsid w:val="00117FB0"/>
    <w:rsid w:val="00120FA8"/>
    <w:rsid w:val="00120FF6"/>
    <w:rsid w:val="00121A85"/>
    <w:rsid w:val="00121B7C"/>
    <w:rsid w:val="00121C2D"/>
    <w:rsid w:val="00121FD0"/>
    <w:rsid w:val="00122511"/>
    <w:rsid w:val="0012279A"/>
    <w:rsid w:val="00122AB1"/>
    <w:rsid w:val="001232D5"/>
    <w:rsid w:val="001238B0"/>
    <w:rsid w:val="00124120"/>
    <w:rsid w:val="00124AFD"/>
    <w:rsid w:val="00125258"/>
    <w:rsid w:val="00125A03"/>
    <w:rsid w:val="001260B2"/>
    <w:rsid w:val="001260DA"/>
    <w:rsid w:val="00127491"/>
    <w:rsid w:val="00130B52"/>
    <w:rsid w:val="00130D87"/>
    <w:rsid w:val="001313C5"/>
    <w:rsid w:val="0013165D"/>
    <w:rsid w:val="00131671"/>
    <w:rsid w:val="00131762"/>
    <w:rsid w:val="00131B55"/>
    <w:rsid w:val="00132D05"/>
    <w:rsid w:val="0013309F"/>
    <w:rsid w:val="0013311B"/>
    <w:rsid w:val="00133EF5"/>
    <w:rsid w:val="001340E5"/>
    <w:rsid w:val="00134119"/>
    <w:rsid w:val="00134346"/>
    <w:rsid w:val="00134FC6"/>
    <w:rsid w:val="0013542D"/>
    <w:rsid w:val="001358CC"/>
    <w:rsid w:val="00136793"/>
    <w:rsid w:val="00136EEE"/>
    <w:rsid w:val="0013744A"/>
    <w:rsid w:val="001375F8"/>
    <w:rsid w:val="00137701"/>
    <w:rsid w:val="0013797D"/>
    <w:rsid w:val="00137CF3"/>
    <w:rsid w:val="00140A07"/>
    <w:rsid w:val="00140B2A"/>
    <w:rsid w:val="0014144F"/>
    <w:rsid w:val="001415BD"/>
    <w:rsid w:val="00142893"/>
    <w:rsid w:val="00142E7F"/>
    <w:rsid w:val="00143293"/>
    <w:rsid w:val="001439FF"/>
    <w:rsid w:val="00144328"/>
    <w:rsid w:val="00144FB1"/>
    <w:rsid w:val="0014538A"/>
    <w:rsid w:val="0014567B"/>
    <w:rsid w:val="00145A32"/>
    <w:rsid w:val="00145FE9"/>
    <w:rsid w:val="001460CC"/>
    <w:rsid w:val="00146551"/>
    <w:rsid w:val="001465E7"/>
    <w:rsid w:val="00146FD9"/>
    <w:rsid w:val="00147703"/>
    <w:rsid w:val="0014795C"/>
    <w:rsid w:val="00147B0B"/>
    <w:rsid w:val="001505F1"/>
    <w:rsid w:val="001508EE"/>
    <w:rsid w:val="00151568"/>
    <w:rsid w:val="0015182D"/>
    <w:rsid w:val="00152D86"/>
    <w:rsid w:val="00152E9A"/>
    <w:rsid w:val="00152EDB"/>
    <w:rsid w:val="00152F4B"/>
    <w:rsid w:val="00154E4C"/>
    <w:rsid w:val="0015570D"/>
    <w:rsid w:val="00155F26"/>
    <w:rsid w:val="0015649D"/>
    <w:rsid w:val="001574FD"/>
    <w:rsid w:val="00157F42"/>
    <w:rsid w:val="00161318"/>
    <w:rsid w:val="00161472"/>
    <w:rsid w:val="0016175C"/>
    <w:rsid w:val="0016196B"/>
    <w:rsid w:val="00161BCC"/>
    <w:rsid w:val="00162261"/>
    <w:rsid w:val="001624F9"/>
    <w:rsid w:val="001626A8"/>
    <w:rsid w:val="001626F1"/>
    <w:rsid w:val="00162A61"/>
    <w:rsid w:val="00162FBC"/>
    <w:rsid w:val="001630FC"/>
    <w:rsid w:val="0016326A"/>
    <w:rsid w:val="00165ACD"/>
    <w:rsid w:val="001662D6"/>
    <w:rsid w:val="001662F7"/>
    <w:rsid w:val="00166E9B"/>
    <w:rsid w:val="00167C55"/>
    <w:rsid w:val="001704FD"/>
    <w:rsid w:val="00170533"/>
    <w:rsid w:val="001705CA"/>
    <w:rsid w:val="00170EA8"/>
    <w:rsid w:val="00171027"/>
    <w:rsid w:val="001710DC"/>
    <w:rsid w:val="00171158"/>
    <w:rsid w:val="00171B44"/>
    <w:rsid w:val="00171CAB"/>
    <w:rsid w:val="00171EF7"/>
    <w:rsid w:val="0017211F"/>
    <w:rsid w:val="00172551"/>
    <w:rsid w:val="00172956"/>
    <w:rsid w:val="00172A13"/>
    <w:rsid w:val="00173E43"/>
    <w:rsid w:val="00174917"/>
    <w:rsid w:val="00175012"/>
    <w:rsid w:val="00175419"/>
    <w:rsid w:val="00175B81"/>
    <w:rsid w:val="00175ED1"/>
    <w:rsid w:val="001761A1"/>
    <w:rsid w:val="0017628F"/>
    <w:rsid w:val="00176545"/>
    <w:rsid w:val="00176586"/>
    <w:rsid w:val="00177149"/>
    <w:rsid w:val="00177A29"/>
    <w:rsid w:val="00177EE7"/>
    <w:rsid w:val="0018031B"/>
    <w:rsid w:val="0018086E"/>
    <w:rsid w:val="0018129C"/>
    <w:rsid w:val="001814A2"/>
    <w:rsid w:val="001816CE"/>
    <w:rsid w:val="0018175C"/>
    <w:rsid w:val="00181BF1"/>
    <w:rsid w:val="00182362"/>
    <w:rsid w:val="00182C35"/>
    <w:rsid w:val="001831A1"/>
    <w:rsid w:val="001835FA"/>
    <w:rsid w:val="0018375E"/>
    <w:rsid w:val="001842C0"/>
    <w:rsid w:val="00184925"/>
    <w:rsid w:val="00185495"/>
    <w:rsid w:val="00185C17"/>
    <w:rsid w:val="0018606C"/>
    <w:rsid w:val="00186FF8"/>
    <w:rsid w:val="00190B1D"/>
    <w:rsid w:val="00190B9E"/>
    <w:rsid w:val="00190D59"/>
    <w:rsid w:val="00191C95"/>
    <w:rsid w:val="00191F35"/>
    <w:rsid w:val="00192329"/>
    <w:rsid w:val="0019293A"/>
    <w:rsid w:val="0019309B"/>
    <w:rsid w:val="001951B2"/>
    <w:rsid w:val="00195523"/>
    <w:rsid w:val="00196DBA"/>
    <w:rsid w:val="001977DB"/>
    <w:rsid w:val="00197C38"/>
    <w:rsid w:val="001A001C"/>
    <w:rsid w:val="001A00FC"/>
    <w:rsid w:val="001A017A"/>
    <w:rsid w:val="001A05DF"/>
    <w:rsid w:val="001A06DE"/>
    <w:rsid w:val="001A0E98"/>
    <w:rsid w:val="001A1161"/>
    <w:rsid w:val="001A1BD5"/>
    <w:rsid w:val="001A3394"/>
    <w:rsid w:val="001A3519"/>
    <w:rsid w:val="001A376A"/>
    <w:rsid w:val="001A391C"/>
    <w:rsid w:val="001A3DDD"/>
    <w:rsid w:val="001A449D"/>
    <w:rsid w:val="001A4658"/>
    <w:rsid w:val="001A4B56"/>
    <w:rsid w:val="001A4EBB"/>
    <w:rsid w:val="001A4EFF"/>
    <w:rsid w:val="001A5EA8"/>
    <w:rsid w:val="001A6607"/>
    <w:rsid w:val="001A6A27"/>
    <w:rsid w:val="001B0061"/>
    <w:rsid w:val="001B0230"/>
    <w:rsid w:val="001B03DD"/>
    <w:rsid w:val="001B05D5"/>
    <w:rsid w:val="001B0A0C"/>
    <w:rsid w:val="001B1441"/>
    <w:rsid w:val="001B2391"/>
    <w:rsid w:val="001B2F67"/>
    <w:rsid w:val="001B3512"/>
    <w:rsid w:val="001B4A92"/>
    <w:rsid w:val="001B4D87"/>
    <w:rsid w:val="001B5290"/>
    <w:rsid w:val="001B536D"/>
    <w:rsid w:val="001B56B3"/>
    <w:rsid w:val="001B56DE"/>
    <w:rsid w:val="001B5C4F"/>
    <w:rsid w:val="001B6E28"/>
    <w:rsid w:val="001B7424"/>
    <w:rsid w:val="001C01BE"/>
    <w:rsid w:val="001C039C"/>
    <w:rsid w:val="001C0401"/>
    <w:rsid w:val="001C08C5"/>
    <w:rsid w:val="001C0A78"/>
    <w:rsid w:val="001C12A0"/>
    <w:rsid w:val="001C13D1"/>
    <w:rsid w:val="001C1F74"/>
    <w:rsid w:val="001C2271"/>
    <w:rsid w:val="001C28FC"/>
    <w:rsid w:val="001C3142"/>
    <w:rsid w:val="001C3D19"/>
    <w:rsid w:val="001C3F16"/>
    <w:rsid w:val="001C44B6"/>
    <w:rsid w:val="001C45A5"/>
    <w:rsid w:val="001C485D"/>
    <w:rsid w:val="001C5601"/>
    <w:rsid w:val="001C5E86"/>
    <w:rsid w:val="001C6166"/>
    <w:rsid w:val="001C63BA"/>
    <w:rsid w:val="001C649B"/>
    <w:rsid w:val="001C6609"/>
    <w:rsid w:val="001C7765"/>
    <w:rsid w:val="001C7F3C"/>
    <w:rsid w:val="001D013D"/>
    <w:rsid w:val="001D1D09"/>
    <w:rsid w:val="001D387C"/>
    <w:rsid w:val="001D41CD"/>
    <w:rsid w:val="001D4314"/>
    <w:rsid w:val="001D50F0"/>
    <w:rsid w:val="001D5532"/>
    <w:rsid w:val="001D5CB2"/>
    <w:rsid w:val="001D7075"/>
    <w:rsid w:val="001D744E"/>
    <w:rsid w:val="001D74E3"/>
    <w:rsid w:val="001D7B4D"/>
    <w:rsid w:val="001E0023"/>
    <w:rsid w:val="001E0DA3"/>
    <w:rsid w:val="001E1283"/>
    <w:rsid w:val="001E1797"/>
    <w:rsid w:val="001E196F"/>
    <w:rsid w:val="001E203B"/>
    <w:rsid w:val="001E3B58"/>
    <w:rsid w:val="001E4266"/>
    <w:rsid w:val="001E4B98"/>
    <w:rsid w:val="001E5640"/>
    <w:rsid w:val="001E6DBF"/>
    <w:rsid w:val="001E6EBC"/>
    <w:rsid w:val="001E764D"/>
    <w:rsid w:val="001E7976"/>
    <w:rsid w:val="001E7F9D"/>
    <w:rsid w:val="001F032E"/>
    <w:rsid w:val="001F06B2"/>
    <w:rsid w:val="001F0BB1"/>
    <w:rsid w:val="001F2342"/>
    <w:rsid w:val="001F26F9"/>
    <w:rsid w:val="001F2C32"/>
    <w:rsid w:val="001F303D"/>
    <w:rsid w:val="001F32E6"/>
    <w:rsid w:val="001F3380"/>
    <w:rsid w:val="001F3F63"/>
    <w:rsid w:val="001F3FFA"/>
    <w:rsid w:val="001F4B8B"/>
    <w:rsid w:val="001F53EA"/>
    <w:rsid w:val="001F55B6"/>
    <w:rsid w:val="001F5723"/>
    <w:rsid w:val="001F596D"/>
    <w:rsid w:val="001F60F7"/>
    <w:rsid w:val="001F65D2"/>
    <w:rsid w:val="001F7546"/>
    <w:rsid w:val="001F7714"/>
    <w:rsid w:val="001F7BD4"/>
    <w:rsid w:val="001F7DFE"/>
    <w:rsid w:val="00200292"/>
    <w:rsid w:val="00200BC7"/>
    <w:rsid w:val="00200C0E"/>
    <w:rsid w:val="00201F7E"/>
    <w:rsid w:val="00202603"/>
    <w:rsid w:val="002031B0"/>
    <w:rsid w:val="002038FB"/>
    <w:rsid w:val="00203A1C"/>
    <w:rsid w:val="00203F03"/>
    <w:rsid w:val="002048E0"/>
    <w:rsid w:val="00204980"/>
    <w:rsid w:val="00204C1F"/>
    <w:rsid w:val="002052E1"/>
    <w:rsid w:val="00205659"/>
    <w:rsid w:val="002057B6"/>
    <w:rsid w:val="00206235"/>
    <w:rsid w:val="002065DE"/>
    <w:rsid w:val="002116F0"/>
    <w:rsid w:val="00211ED1"/>
    <w:rsid w:val="0021257D"/>
    <w:rsid w:val="00212A81"/>
    <w:rsid w:val="00212F56"/>
    <w:rsid w:val="00212FD8"/>
    <w:rsid w:val="00213A8F"/>
    <w:rsid w:val="0021423B"/>
    <w:rsid w:val="0021541A"/>
    <w:rsid w:val="00215FBF"/>
    <w:rsid w:val="00216F18"/>
    <w:rsid w:val="00216FDB"/>
    <w:rsid w:val="00220582"/>
    <w:rsid w:val="00220E9A"/>
    <w:rsid w:val="002214FF"/>
    <w:rsid w:val="002218E7"/>
    <w:rsid w:val="00221FE8"/>
    <w:rsid w:val="00222177"/>
    <w:rsid w:val="00222982"/>
    <w:rsid w:val="00223D8C"/>
    <w:rsid w:val="00223EDB"/>
    <w:rsid w:val="00224329"/>
    <w:rsid w:val="00224AE7"/>
    <w:rsid w:val="00224B2D"/>
    <w:rsid w:val="00225CBE"/>
    <w:rsid w:val="00226221"/>
    <w:rsid w:val="0022680A"/>
    <w:rsid w:val="00227151"/>
    <w:rsid w:val="002271B9"/>
    <w:rsid w:val="00230D97"/>
    <w:rsid w:val="002310BB"/>
    <w:rsid w:val="00232775"/>
    <w:rsid w:val="00232997"/>
    <w:rsid w:val="00232C1B"/>
    <w:rsid w:val="00232E5D"/>
    <w:rsid w:val="00232EEA"/>
    <w:rsid w:val="0023337E"/>
    <w:rsid w:val="002335E9"/>
    <w:rsid w:val="002339F4"/>
    <w:rsid w:val="00234412"/>
    <w:rsid w:val="0023548B"/>
    <w:rsid w:val="00235DC0"/>
    <w:rsid w:val="002364A1"/>
    <w:rsid w:val="00236CE3"/>
    <w:rsid w:val="00236F19"/>
    <w:rsid w:val="00237836"/>
    <w:rsid w:val="00237CA7"/>
    <w:rsid w:val="0024056D"/>
    <w:rsid w:val="00240E22"/>
    <w:rsid w:val="002411E7"/>
    <w:rsid w:val="0024186A"/>
    <w:rsid w:val="00242004"/>
    <w:rsid w:val="00242648"/>
    <w:rsid w:val="002432D6"/>
    <w:rsid w:val="00243AD4"/>
    <w:rsid w:val="00243F69"/>
    <w:rsid w:val="00244451"/>
    <w:rsid w:val="00245C5F"/>
    <w:rsid w:val="00247043"/>
    <w:rsid w:val="002470D1"/>
    <w:rsid w:val="0024713C"/>
    <w:rsid w:val="002500C5"/>
    <w:rsid w:val="0025023A"/>
    <w:rsid w:val="002504FB"/>
    <w:rsid w:val="0025114A"/>
    <w:rsid w:val="002512E2"/>
    <w:rsid w:val="00251587"/>
    <w:rsid w:val="00251713"/>
    <w:rsid w:val="00251CC8"/>
    <w:rsid w:val="00252BC5"/>
    <w:rsid w:val="00253730"/>
    <w:rsid w:val="0025385E"/>
    <w:rsid w:val="0025469D"/>
    <w:rsid w:val="00255598"/>
    <w:rsid w:val="002557B6"/>
    <w:rsid w:val="00255BB6"/>
    <w:rsid w:val="00256519"/>
    <w:rsid w:val="00256ABD"/>
    <w:rsid w:val="0025700D"/>
    <w:rsid w:val="002571B0"/>
    <w:rsid w:val="002578C2"/>
    <w:rsid w:val="00257F59"/>
    <w:rsid w:val="00260298"/>
    <w:rsid w:val="0026066A"/>
    <w:rsid w:val="00261299"/>
    <w:rsid w:val="002629A7"/>
    <w:rsid w:val="002630A7"/>
    <w:rsid w:val="0026310E"/>
    <w:rsid w:val="0026493F"/>
    <w:rsid w:val="00264C23"/>
    <w:rsid w:val="00264E0C"/>
    <w:rsid w:val="00265720"/>
    <w:rsid w:val="00265C98"/>
    <w:rsid w:val="002669B9"/>
    <w:rsid w:val="0026734A"/>
    <w:rsid w:val="00267654"/>
    <w:rsid w:val="00267A47"/>
    <w:rsid w:val="002707DE"/>
    <w:rsid w:val="002707F9"/>
    <w:rsid w:val="002709D4"/>
    <w:rsid w:val="00271D9E"/>
    <w:rsid w:val="00271EA4"/>
    <w:rsid w:val="0027273B"/>
    <w:rsid w:val="00273AB5"/>
    <w:rsid w:val="002745D9"/>
    <w:rsid w:val="002748C6"/>
    <w:rsid w:val="002749FE"/>
    <w:rsid w:val="00275335"/>
    <w:rsid w:val="00275778"/>
    <w:rsid w:val="00275A63"/>
    <w:rsid w:val="00277177"/>
    <w:rsid w:val="00277422"/>
    <w:rsid w:val="00277423"/>
    <w:rsid w:val="002775A9"/>
    <w:rsid w:val="00280AA1"/>
    <w:rsid w:val="00281D33"/>
    <w:rsid w:val="0028209C"/>
    <w:rsid w:val="002821B2"/>
    <w:rsid w:val="002825CA"/>
    <w:rsid w:val="00284097"/>
    <w:rsid w:val="00284542"/>
    <w:rsid w:val="00284992"/>
    <w:rsid w:val="00284CBB"/>
    <w:rsid w:val="0028518C"/>
    <w:rsid w:val="00285A50"/>
    <w:rsid w:val="00286346"/>
    <w:rsid w:val="00286FB1"/>
    <w:rsid w:val="00287349"/>
    <w:rsid w:val="00287A47"/>
    <w:rsid w:val="002908E5"/>
    <w:rsid w:val="00290E9F"/>
    <w:rsid w:val="00291209"/>
    <w:rsid w:val="0029152D"/>
    <w:rsid w:val="00291AB0"/>
    <w:rsid w:val="00292A19"/>
    <w:rsid w:val="0029358C"/>
    <w:rsid w:val="002935B7"/>
    <w:rsid w:val="00294023"/>
    <w:rsid w:val="00294308"/>
    <w:rsid w:val="002953F6"/>
    <w:rsid w:val="00295442"/>
    <w:rsid w:val="00295576"/>
    <w:rsid w:val="002959F0"/>
    <w:rsid w:val="002974A2"/>
    <w:rsid w:val="002A0173"/>
    <w:rsid w:val="002A07BC"/>
    <w:rsid w:val="002A08BA"/>
    <w:rsid w:val="002A16F8"/>
    <w:rsid w:val="002A2266"/>
    <w:rsid w:val="002A257D"/>
    <w:rsid w:val="002A279E"/>
    <w:rsid w:val="002A28E4"/>
    <w:rsid w:val="002A2D59"/>
    <w:rsid w:val="002A34E3"/>
    <w:rsid w:val="002A3630"/>
    <w:rsid w:val="002A3E79"/>
    <w:rsid w:val="002A4E67"/>
    <w:rsid w:val="002A5264"/>
    <w:rsid w:val="002A574B"/>
    <w:rsid w:val="002A5829"/>
    <w:rsid w:val="002A5C2D"/>
    <w:rsid w:val="002A5C66"/>
    <w:rsid w:val="002A5D3E"/>
    <w:rsid w:val="002A61DC"/>
    <w:rsid w:val="002A6895"/>
    <w:rsid w:val="002A6C92"/>
    <w:rsid w:val="002A71A9"/>
    <w:rsid w:val="002B0080"/>
    <w:rsid w:val="002B0848"/>
    <w:rsid w:val="002B0FC5"/>
    <w:rsid w:val="002B131E"/>
    <w:rsid w:val="002B2182"/>
    <w:rsid w:val="002B222A"/>
    <w:rsid w:val="002B2D4C"/>
    <w:rsid w:val="002B3369"/>
    <w:rsid w:val="002B385F"/>
    <w:rsid w:val="002B47EC"/>
    <w:rsid w:val="002B4903"/>
    <w:rsid w:val="002B4AAD"/>
    <w:rsid w:val="002B4B07"/>
    <w:rsid w:val="002B4BA8"/>
    <w:rsid w:val="002B50B9"/>
    <w:rsid w:val="002B5644"/>
    <w:rsid w:val="002B5CA4"/>
    <w:rsid w:val="002B5DC1"/>
    <w:rsid w:val="002B65E8"/>
    <w:rsid w:val="002B7D52"/>
    <w:rsid w:val="002C09A8"/>
    <w:rsid w:val="002C11B2"/>
    <w:rsid w:val="002C2533"/>
    <w:rsid w:val="002C2771"/>
    <w:rsid w:val="002C3999"/>
    <w:rsid w:val="002C5157"/>
    <w:rsid w:val="002C5BD7"/>
    <w:rsid w:val="002C5F52"/>
    <w:rsid w:val="002C7546"/>
    <w:rsid w:val="002D00ED"/>
    <w:rsid w:val="002D02AD"/>
    <w:rsid w:val="002D0453"/>
    <w:rsid w:val="002D0F4D"/>
    <w:rsid w:val="002D12BB"/>
    <w:rsid w:val="002D162F"/>
    <w:rsid w:val="002D1BDB"/>
    <w:rsid w:val="002D27BF"/>
    <w:rsid w:val="002D39C5"/>
    <w:rsid w:val="002D3F56"/>
    <w:rsid w:val="002D4A1B"/>
    <w:rsid w:val="002D6652"/>
    <w:rsid w:val="002D6681"/>
    <w:rsid w:val="002D6CD5"/>
    <w:rsid w:val="002D73AF"/>
    <w:rsid w:val="002D779F"/>
    <w:rsid w:val="002D77B7"/>
    <w:rsid w:val="002E0322"/>
    <w:rsid w:val="002E0BB2"/>
    <w:rsid w:val="002E10D7"/>
    <w:rsid w:val="002E1329"/>
    <w:rsid w:val="002E1486"/>
    <w:rsid w:val="002E1BF4"/>
    <w:rsid w:val="002E1E0D"/>
    <w:rsid w:val="002E2031"/>
    <w:rsid w:val="002E2A17"/>
    <w:rsid w:val="002E2C99"/>
    <w:rsid w:val="002E2D4E"/>
    <w:rsid w:val="002E2F53"/>
    <w:rsid w:val="002E3824"/>
    <w:rsid w:val="002E39DC"/>
    <w:rsid w:val="002E4556"/>
    <w:rsid w:val="002E55E6"/>
    <w:rsid w:val="002E5EF8"/>
    <w:rsid w:val="002E6481"/>
    <w:rsid w:val="002E65F6"/>
    <w:rsid w:val="002E68FB"/>
    <w:rsid w:val="002E6B44"/>
    <w:rsid w:val="002E6BCD"/>
    <w:rsid w:val="002E75F8"/>
    <w:rsid w:val="002F01FC"/>
    <w:rsid w:val="002F04A1"/>
    <w:rsid w:val="002F07CC"/>
    <w:rsid w:val="002F2E62"/>
    <w:rsid w:val="002F32ED"/>
    <w:rsid w:val="002F364A"/>
    <w:rsid w:val="002F3DB0"/>
    <w:rsid w:val="002F4A81"/>
    <w:rsid w:val="002F5243"/>
    <w:rsid w:val="002F5AC6"/>
    <w:rsid w:val="002F61F0"/>
    <w:rsid w:val="002F636D"/>
    <w:rsid w:val="002F6782"/>
    <w:rsid w:val="002F6860"/>
    <w:rsid w:val="002F6D5C"/>
    <w:rsid w:val="002F74CE"/>
    <w:rsid w:val="002F7926"/>
    <w:rsid w:val="002F7E94"/>
    <w:rsid w:val="00300DB7"/>
    <w:rsid w:val="00300DB8"/>
    <w:rsid w:val="0030130F"/>
    <w:rsid w:val="003015E0"/>
    <w:rsid w:val="00302718"/>
    <w:rsid w:val="00302B0D"/>
    <w:rsid w:val="003032C9"/>
    <w:rsid w:val="00303617"/>
    <w:rsid w:val="00303D53"/>
    <w:rsid w:val="003040AE"/>
    <w:rsid w:val="0030432D"/>
    <w:rsid w:val="00304339"/>
    <w:rsid w:val="0030482E"/>
    <w:rsid w:val="00306488"/>
    <w:rsid w:val="00307AE7"/>
    <w:rsid w:val="00310149"/>
    <w:rsid w:val="003107BB"/>
    <w:rsid w:val="003113B4"/>
    <w:rsid w:val="00311809"/>
    <w:rsid w:val="00311C4D"/>
    <w:rsid w:val="00311C8F"/>
    <w:rsid w:val="00311DD2"/>
    <w:rsid w:val="00311E78"/>
    <w:rsid w:val="003122A3"/>
    <w:rsid w:val="003124C4"/>
    <w:rsid w:val="00312CD1"/>
    <w:rsid w:val="00312DA8"/>
    <w:rsid w:val="00313995"/>
    <w:rsid w:val="00313E10"/>
    <w:rsid w:val="00314BBD"/>
    <w:rsid w:val="0031707E"/>
    <w:rsid w:val="00317394"/>
    <w:rsid w:val="0031747D"/>
    <w:rsid w:val="00317B08"/>
    <w:rsid w:val="00317E85"/>
    <w:rsid w:val="0032054D"/>
    <w:rsid w:val="0032109F"/>
    <w:rsid w:val="003225E3"/>
    <w:rsid w:val="00322A0B"/>
    <w:rsid w:val="00322A9B"/>
    <w:rsid w:val="00322D4A"/>
    <w:rsid w:val="003231F6"/>
    <w:rsid w:val="0032338F"/>
    <w:rsid w:val="00323C30"/>
    <w:rsid w:val="00324185"/>
    <w:rsid w:val="00324756"/>
    <w:rsid w:val="00325B2C"/>
    <w:rsid w:val="00325C4A"/>
    <w:rsid w:val="00325E8F"/>
    <w:rsid w:val="00325F3A"/>
    <w:rsid w:val="00326B1B"/>
    <w:rsid w:val="003278AB"/>
    <w:rsid w:val="0033063C"/>
    <w:rsid w:val="003306B6"/>
    <w:rsid w:val="00330ECD"/>
    <w:rsid w:val="0033142E"/>
    <w:rsid w:val="00331A49"/>
    <w:rsid w:val="0033220A"/>
    <w:rsid w:val="003329C3"/>
    <w:rsid w:val="00332C4B"/>
    <w:rsid w:val="0033313D"/>
    <w:rsid w:val="003334D7"/>
    <w:rsid w:val="00333AD2"/>
    <w:rsid w:val="00335552"/>
    <w:rsid w:val="00336292"/>
    <w:rsid w:val="00337116"/>
    <w:rsid w:val="003371D8"/>
    <w:rsid w:val="003373AF"/>
    <w:rsid w:val="003378C1"/>
    <w:rsid w:val="00337C60"/>
    <w:rsid w:val="00337F75"/>
    <w:rsid w:val="003400C4"/>
    <w:rsid w:val="00341096"/>
    <w:rsid w:val="003415E5"/>
    <w:rsid w:val="003425FF"/>
    <w:rsid w:val="00342A8C"/>
    <w:rsid w:val="00342E60"/>
    <w:rsid w:val="003434CD"/>
    <w:rsid w:val="00344F38"/>
    <w:rsid w:val="0034502A"/>
    <w:rsid w:val="003457E5"/>
    <w:rsid w:val="0034758E"/>
    <w:rsid w:val="003478BC"/>
    <w:rsid w:val="00347F59"/>
    <w:rsid w:val="00350DA8"/>
    <w:rsid w:val="003511E1"/>
    <w:rsid w:val="003513BB"/>
    <w:rsid w:val="0035200F"/>
    <w:rsid w:val="003529F5"/>
    <w:rsid w:val="00352BE6"/>
    <w:rsid w:val="00352EC7"/>
    <w:rsid w:val="00353240"/>
    <w:rsid w:val="00353598"/>
    <w:rsid w:val="00355A62"/>
    <w:rsid w:val="00356E55"/>
    <w:rsid w:val="003570B4"/>
    <w:rsid w:val="00357633"/>
    <w:rsid w:val="003577D2"/>
    <w:rsid w:val="00357D6E"/>
    <w:rsid w:val="00357EAD"/>
    <w:rsid w:val="00360094"/>
    <w:rsid w:val="00360299"/>
    <w:rsid w:val="00360342"/>
    <w:rsid w:val="00361041"/>
    <w:rsid w:val="0036197B"/>
    <w:rsid w:val="003619B3"/>
    <w:rsid w:val="00361A37"/>
    <w:rsid w:val="00361A44"/>
    <w:rsid w:val="0036216F"/>
    <w:rsid w:val="003623E6"/>
    <w:rsid w:val="0036260B"/>
    <w:rsid w:val="003632DB"/>
    <w:rsid w:val="003635E1"/>
    <w:rsid w:val="00363A7A"/>
    <w:rsid w:val="00363BDC"/>
    <w:rsid w:val="00365C15"/>
    <w:rsid w:val="003668B9"/>
    <w:rsid w:val="0037061F"/>
    <w:rsid w:val="003724E1"/>
    <w:rsid w:val="00372724"/>
    <w:rsid w:val="00373077"/>
    <w:rsid w:val="003732A9"/>
    <w:rsid w:val="0037339E"/>
    <w:rsid w:val="003735F4"/>
    <w:rsid w:val="003739E0"/>
    <w:rsid w:val="0037531D"/>
    <w:rsid w:val="00375922"/>
    <w:rsid w:val="00375C18"/>
    <w:rsid w:val="003767FE"/>
    <w:rsid w:val="00376C34"/>
    <w:rsid w:val="00376CE9"/>
    <w:rsid w:val="00376FA3"/>
    <w:rsid w:val="00377500"/>
    <w:rsid w:val="003805C4"/>
    <w:rsid w:val="00381604"/>
    <w:rsid w:val="00382657"/>
    <w:rsid w:val="00382EBD"/>
    <w:rsid w:val="00383478"/>
    <w:rsid w:val="00383C8C"/>
    <w:rsid w:val="00383CF6"/>
    <w:rsid w:val="0038408A"/>
    <w:rsid w:val="00384F67"/>
    <w:rsid w:val="00384FCA"/>
    <w:rsid w:val="00385456"/>
    <w:rsid w:val="00385503"/>
    <w:rsid w:val="00387000"/>
    <w:rsid w:val="003875C1"/>
    <w:rsid w:val="00387B6C"/>
    <w:rsid w:val="00387B9F"/>
    <w:rsid w:val="00390479"/>
    <w:rsid w:val="00390A17"/>
    <w:rsid w:val="00391DF2"/>
    <w:rsid w:val="00391EC1"/>
    <w:rsid w:val="00391F11"/>
    <w:rsid w:val="00392C12"/>
    <w:rsid w:val="0039393E"/>
    <w:rsid w:val="00393D2F"/>
    <w:rsid w:val="00394337"/>
    <w:rsid w:val="0039559D"/>
    <w:rsid w:val="00395DE1"/>
    <w:rsid w:val="00395F90"/>
    <w:rsid w:val="0039602B"/>
    <w:rsid w:val="00396302"/>
    <w:rsid w:val="00396A8A"/>
    <w:rsid w:val="00396FA4"/>
    <w:rsid w:val="0039704D"/>
    <w:rsid w:val="003971F3"/>
    <w:rsid w:val="0039725A"/>
    <w:rsid w:val="00397A9B"/>
    <w:rsid w:val="003A1065"/>
    <w:rsid w:val="003A1446"/>
    <w:rsid w:val="003A19F1"/>
    <w:rsid w:val="003A1F4B"/>
    <w:rsid w:val="003A2566"/>
    <w:rsid w:val="003A34A2"/>
    <w:rsid w:val="003A545D"/>
    <w:rsid w:val="003A5B4F"/>
    <w:rsid w:val="003A5C4E"/>
    <w:rsid w:val="003A5E47"/>
    <w:rsid w:val="003A654D"/>
    <w:rsid w:val="003A6586"/>
    <w:rsid w:val="003A6D57"/>
    <w:rsid w:val="003A78A3"/>
    <w:rsid w:val="003B00F0"/>
    <w:rsid w:val="003B0200"/>
    <w:rsid w:val="003B0440"/>
    <w:rsid w:val="003B08DC"/>
    <w:rsid w:val="003B19A4"/>
    <w:rsid w:val="003B1D34"/>
    <w:rsid w:val="003B22E6"/>
    <w:rsid w:val="003B2CC4"/>
    <w:rsid w:val="003B2D80"/>
    <w:rsid w:val="003B3FC7"/>
    <w:rsid w:val="003B43D0"/>
    <w:rsid w:val="003B4681"/>
    <w:rsid w:val="003B5EA0"/>
    <w:rsid w:val="003B5F1C"/>
    <w:rsid w:val="003B7F5D"/>
    <w:rsid w:val="003C0456"/>
    <w:rsid w:val="003C0B56"/>
    <w:rsid w:val="003C0EB3"/>
    <w:rsid w:val="003C1152"/>
    <w:rsid w:val="003C13C6"/>
    <w:rsid w:val="003C1C3B"/>
    <w:rsid w:val="003C22E6"/>
    <w:rsid w:val="003C242B"/>
    <w:rsid w:val="003C3184"/>
    <w:rsid w:val="003C3AF4"/>
    <w:rsid w:val="003C465C"/>
    <w:rsid w:val="003C4A0F"/>
    <w:rsid w:val="003C4A1D"/>
    <w:rsid w:val="003C4BF0"/>
    <w:rsid w:val="003C6317"/>
    <w:rsid w:val="003C643F"/>
    <w:rsid w:val="003C6552"/>
    <w:rsid w:val="003C6580"/>
    <w:rsid w:val="003C68DB"/>
    <w:rsid w:val="003C7B59"/>
    <w:rsid w:val="003D0E3B"/>
    <w:rsid w:val="003D20C6"/>
    <w:rsid w:val="003D2AB2"/>
    <w:rsid w:val="003D3155"/>
    <w:rsid w:val="003D3C44"/>
    <w:rsid w:val="003D49E7"/>
    <w:rsid w:val="003D4F90"/>
    <w:rsid w:val="003D5048"/>
    <w:rsid w:val="003D6333"/>
    <w:rsid w:val="003D6363"/>
    <w:rsid w:val="003D6B17"/>
    <w:rsid w:val="003D6BD8"/>
    <w:rsid w:val="003D6BF1"/>
    <w:rsid w:val="003D7F9A"/>
    <w:rsid w:val="003D7FAC"/>
    <w:rsid w:val="003E0608"/>
    <w:rsid w:val="003E0A06"/>
    <w:rsid w:val="003E1083"/>
    <w:rsid w:val="003E1229"/>
    <w:rsid w:val="003E1418"/>
    <w:rsid w:val="003E19C7"/>
    <w:rsid w:val="003E2176"/>
    <w:rsid w:val="003E2BCA"/>
    <w:rsid w:val="003E30E8"/>
    <w:rsid w:val="003E3830"/>
    <w:rsid w:val="003E3DC8"/>
    <w:rsid w:val="003E3F6A"/>
    <w:rsid w:val="003E4B7D"/>
    <w:rsid w:val="003E4C88"/>
    <w:rsid w:val="003E4D52"/>
    <w:rsid w:val="003E5A2F"/>
    <w:rsid w:val="003E6122"/>
    <w:rsid w:val="003E6234"/>
    <w:rsid w:val="003E6418"/>
    <w:rsid w:val="003E65E5"/>
    <w:rsid w:val="003E69E6"/>
    <w:rsid w:val="003F0224"/>
    <w:rsid w:val="003F0537"/>
    <w:rsid w:val="003F0E7F"/>
    <w:rsid w:val="003F0EEF"/>
    <w:rsid w:val="003F1D98"/>
    <w:rsid w:val="003F2A10"/>
    <w:rsid w:val="003F2DA3"/>
    <w:rsid w:val="003F35BA"/>
    <w:rsid w:val="003F3D0F"/>
    <w:rsid w:val="003F3E33"/>
    <w:rsid w:val="003F41BC"/>
    <w:rsid w:val="003F4A30"/>
    <w:rsid w:val="003F4A8C"/>
    <w:rsid w:val="003F4AF3"/>
    <w:rsid w:val="003F55C1"/>
    <w:rsid w:val="003F5640"/>
    <w:rsid w:val="003F5C10"/>
    <w:rsid w:val="003F5C2A"/>
    <w:rsid w:val="003F644C"/>
    <w:rsid w:val="003F67CD"/>
    <w:rsid w:val="003F7AD0"/>
    <w:rsid w:val="003F7BF6"/>
    <w:rsid w:val="003F7DC0"/>
    <w:rsid w:val="003F7DD8"/>
    <w:rsid w:val="004000AC"/>
    <w:rsid w:val="0040021E"/>
    <w:rsid w:val="0040037A"/>
    <w:rsid w:val="0040120F"/>
    <w:rsid w:val="00401D3A"/>
    <w:rsid w:val="00401D65"/>
    <w:rsid w:val="0040213E"/>
    <w:rsid w:val="00402BCD"/>
    <w:rsid w:val="00402E47"/>
    <w:rsid w:val="004039D4"/>
    <w:rsid w:val="00403AF3"/>
    <w:rsid w:val="00404797"/>
    <w:rsid w:val="00404AD7"/>
    <w:rsid w:val="00404DEB"/>
    <w:rsid w:val="004055E1"/>
    <w:rsid w:val="00405BAD"/>
    <w:rsid w:val="00407CD7"/>
    <w:rsid w:val="00407DEF"/>
    <w:rsid w:val="0041013B"/>
    <w:rsid w:val="00410C4F"/>
    <w:rsid w:val="0041124F"/>
    <w:rsid w:val="00412F63"/>
    <w:rsid w:val="00413610"/>
    <w:rsid w:val="00413AA9"/>
    <w:rsid w:val="00414462"/>
    <w:rsid w:val="0041477B"/>
    <w:rsid w:val="00414A03"/>
    <w:rsid w:val="00414CDD"/>
    <w:rsid w:val="00415042"/>
    <w:rsid w:val="00416934"/>
    <w:rsid w:val="00417568"/>
    <w:rsid w:val="004175F3"/>
    <w:rsid w:val="00417821"/>
    <w:rsid w:val="00417B44"/>
    <w:rsid w:val="00417BA3"/>
    <w:rsid w:val="00420DC9"/>
    <w:rsid w:val="0042219C"/>
    <w:rsid w:val="00422C3C"/>
    <w:rsid w:val="004232A3"/>
    <w:rsid w:val="00424122"/>
    <w:rsid w:val="004246E9"/>
    <w:rsid w:val="00424983"/>
    <w:rsid w:val="00427C4E"/>
    <w:rsid w:val="0043075D"/>
    <w:rsid w:val="004307DF"/>
    <w:rsid w:val="00430E2F"/>
    <w:rsid w:val="00431941"/>
    <w:rsid w:val="00431B50"/>
    <w:rsid w:val="00431E6F"/>
    <w:rsid w:val="0043225F"/>
    <w:rsid w:val="00432792"/>
    <w:rsid w:val="00432B20"/>
    <w:rsid w:val="00432FD9"/>
    <w:rsid w:val="0043338B"/>
    <w:rsid w:val="00433E11"/>
    <w:rsid w:val="00433E61"/>
    <w:rsid w:val="00434F9D"/>
    <w:rsid w:val="00435006"/>
    <w:rsid w:val="004353AD"/>
    <w:rsid w:val="0043565F"/>
    <w:rsid w:val="00436383"/>
    <w:rsid w:val="004373AC"/>
    <w:rsid w:val="00437EB2"/>
    <w:rsid w:val="0044045B"/>
    <w:rsid w:val="004405C0"/>
    <w:rsid w:val="004406B1"/>
    <w:rsid w:val="004408A9"/>
    <w:rsid w:val="00440D09"/>
    <w:rsid w:val="00440D5F"/>
    <w:rsid w:val="00440FEB"/>
    <w:rsid w:val="00441EA1"/>
    <w:rsid w:val="004425A7"/>
    <w:rsid w:val="0044333C"/>
    <w:rsid w:val="00443E38"/>
    <w:rsid w:val="00444464"/>
    <w:rsid w:val="00444831"/>
    <w:rsid w:val="004458FD"/>
    <w:rsid w:val="00445CB0"/>
    <w:rsid w:val="00446841"/>
    <w:rsid w:val="00446E28"/>
    <w:rsid w:val="0044714B"/>
    <w:rsid w:val="00447365"/>
    <w:rsid w:val="00447B3B"/>
    <w:rsid w:val="00447EDB"/>
    <w:rsid w:val="00450972"/>
    <w:rsid w:val="00450EB3"/>
    <w:rsid w:val="004511A1"/>
    <w:rsid w:val="00451534"/>
    <w:rsid w:val="0045295A"/>
    <w:rsid w:val="00452C56"/>
    <w:rsid w:val="00452E62"/>
    <w:rsid w:val="0045333B"/>
    <w:rsid w:val="00453437"/>
    <w:rsid w:val="00453942"/>
    <w:rsid w:val="00453F17"/>
    <w:rsid w:val="004542FB"/>
    <w:rsid w:val="0045546A"/>
    <w:rsid w:val="0045567A"/>
    <w:rsid w:val="0045577E"/>
    <w:rsid w:val="004561DE"/>
    <w:rsid w:val="004569F4"/>
    <w:rsid w:val="00456B9C"/>
    <w:rsid w:val="00456C23"/>
    <w:rsid w:val="00456FF9"/>
    <w:rsid w:val="0045735E"/>
    <w:rsid w:val="00457D7F"/>
    <w:rsid w:val="00457F59"/>
    <w:rsid w:val="00457FA1"/>
    <w:rsid w:val="004605B3"/>
    <w:rsid w:val="0046226E"/>
    <w:rsid w:val="004624AD"/>
    <w:rsid w:val="00462B48"/>
    <w:rsid w:val="00462BB7"/>
    <w:rsid w:val="0046390B"/>
    <w:rsid w:val="00463D4E"/>
    <w:rsid w:val="00464530"/>
    <w:rsid w:val="0046460F"/>
    <w:rsid w:val="00464853"/>
    <w:rsid w:val="00464F7C"/>
    <w:rsid w:val="004665FE"/>
    <w:rsid w:val="004667FE"/>
    <w:rsid w:val="00466A55"/>
    <w:rsid w:val="00466BE6"/>
    <w:rsid w:val="00466E36"/>
    <w:rsid w:val="00466FA2"/>
    <w:rsid w:val="004671D7"/>
    <w:rsid w:val="00467239"/>
    <w:rsid w:val="004675B2"/>
    <w:rsid w:val="004706B1"/>
    <w:rsid w:val="004714E0"/>
    <w:rsid w:val="00472CB9"/>
    <w:rsid w:val="00472EBA"/>
    <w:rsid w:val="004735DB"/>
    <w:rsid w:val="00474F0F"/>
    <w:rsid w:val="004751CA"/>
    <w:rsid w:val="004754AE"/>
    <w:rsid w:val="00476955"/>
    <w:rsid w:val="00476D77"/>
    <w:rsid w:val="00476F1E"/>
    <w:rsid w:val="004800F4"/>
    <w:rsid w:val="004807D1"/>
    <w:rsid w:val="00481019"/>
    <w:rsid w:val="00481167"/>
    <w:rsid w:val="004813F3"/>
    <w:rsid w:val="00481BCC"/>
    <w:rsid w:val="00481CA9"/>
    <w:rsid w:val="00481F7C"/>
    <w:rsid w:val="004823B5"/>
    <w:rsid w:val="004826D1"/>
    <w:rsid w:val="00482D48"/>
    <w:rsid w:val="004836D0"/>
    <w:rsid w:val="004839F1"/>
    <w:rsid w:val="00485707"/>
    <w:rsid w:val="00485792"/>
    <w:rsid w:val="00485CA5"/>
    <w:rsid w:val="00485D5D"/>
    <w:rsid w:val="00485F5D"/>
    <w:rsid w:val="00486144"/>
    <w:rsid w:val="0048671C"/>
    <w:rsid w:val="004873B1"/>
    <w:rsid w:val="004874FD"/>
    <w:rsid w:val="00487AF5"/>
    <w:rsid w:val="00487CD1"/>
    <w:rsid w:val="00487F97"/>
    <w:rsid w:val="00490627"/>
    <w:rsid w:val="00491081"/>
    <w:rsid w:val="00491444"/>
    <w:rsid w:val="00492195"/>
    <w:rsid w:val="004933A9"/>
    <w:rsid w:val="0049378F"/>
    <w:rsid w:val="00494508"/>
    <w:rsid w:val="0049468E"/>
    <w:rsid w:val="0049560E"/>
    <w:rsid w:val="00496BDC"/>
    <w:rsid w:val="0049730F"/>
    <w:rsid w:val="004976FC"/>
    <w:rsid w:val="00497D95"/>
    <w:rsid w:val="00497DA6"/>
    <w:rsid w:val="00497FA7"/>
    <w:rsid w:val="004A118B"/>
    <w:rsid w:val="004A1753"/>
    <w:rsid w:val="004A1EE7"/>
    <w:rsid w:val="004A28C6"/>
    <w:rsid w:val="004A3B30"/>
    <w:rsid w:val="004A42CD"/>
    <w:rsid w:val="004A4552"/>
    <w:rsid w:val="004A4CD5"/>
    <w:rsid w:val="004A5336"/>
    <w:rsid w:val="004A5E8A"/>
    <w:rsid w:val="004A6BBD"/>
    <w:rsid w:val="004A6DA1"/>
    <w:rsid w:val="004A7115"/>
    <w:rsid w:val="004A7C7D"/>
    <w:rsid w:val="004A7D8E"/>
    <w:rsid w:val="004B02E1"/>
    <w:rsid w:val="004B1772"/>
    <w:rsid w:val="004B18E0"/>
    <w:rsid w:val="004B1C8D"/>
    <w:rsid w:val="004B1D11"/>
    <w:rsid w:val="004B1D8F"/>
    <w:rsid w:val="004B22C3"/>
    <w:rsid w:val="004B24B0"/>
    <w:rsid w:val="004B25BF"/>
    <w:rsid w:val="004B2760"/>
    <w:rsid w:val="004B350E"/>
    <w:rsid w:val="004B3993"/>
    <w:rsid w:val="004B3EF3"/>
    <w:rsid w:val="004B44F6"/>
    <w:rsid w:val="004B4FCE"/>
    <w:rsid w:val="004B5811"/>
    <w:rsid w:val="004B5A2A"/>
    <w:rsid w:val="004B6566"/>
    <w:rsid w:val="004B658D"/>
    <w:rsid w:val="004B6914"/>
    <w:rsid w:val="004B6CC0"/>
    <w:rsid w:val="004B6F32"/>
    <w:rsid w:val="004B6FBA"/>
    <w:rsid w:val="004B7BE0"/>
    <w:rsid w:val="004C012C"/>
    <w:rsid w:val="004C1220"/>
    <w:rsid w:val="004C1978"/>
    <w:rsid w:val="004C1A49"/>
    <w:rsid w:val="004C1BCF"/>
    <w:rsid w:val="004C40EF"/>
    <w:rsid w:val="004C4271"/>
    <w:rsid w:val="004C52D2"/>
    <w:rsid w:val="004C58C8"/>
    <w:rsid w:val="004C59AB"/>
    <w:rsid w:val="004C5B14"/>
    <w:rsid w:val="004C5CFE"/>
    <w:rsid w:val="004C6486"/>
    <w:rsid w:val="004C7124"/>
    <w:rsid w:val="004C7E05"/>
    <w:rsid w:val="004C7F8E"/>
    <w:rsid w:val="004D0370"/>
    <w:rsid w:val="004D07E5"/>
    <w:rsid w:val="004D0A9B"/>
    <w:rsid w:val="004D0D19"/>
    <w:rsid w:val="004D0F2F"/>
    <w:rsid w:val="004D293F"/>
    <w:rsid w:val="004D3433"/>
    <w:rsid w:val="004D38D4"/>
    <w:rsid w:val="004D393C"/>
    <w:rsid w:val="004D3949"/>
    <w:rsid w:val="004D3B50"/>
    <w:rsid w:val="004D3FA4"/>
    <w:rsid w:val="004D516F"/>
    <w:rsid w:val="004D6381"/>
    <w:rsid w:val="004D72EB"/>
    <w:rsid w:val="004D7C2C"/>
    <w:rsid w:val="004E01F3"/>
    <w:rsid w:val="004E14D4"/>
    <w:rsid w:val="004E17E3"/>
    <w:rsid w:val="004E22E3"/>
    <w:rsid w:val="004E2EDE"/>
    <w:rsid w:val="004E2F77"/>
    <w:rsid w:val="004E3853"/>
    <w:rsid w:val="004E3ED5"/>
    <w:rsid w:val="004E3F3F"/>
    <w:rsid w:val="004E4345"/>
    <w:rsid w:val="004E4EF7"/>
    <w:rsid w:val="004E6181"/>
    <w:rsid w:val="004E6E15"/>
    <w:rsid w:val="004E7AEE"/>
    <w:rsid w:val="004E7D59"/>
    <w:rsid w:val="004F043E"/>
    <w:rsid w:val="004F0C32"/>
    <w:rsid w:val="004F0C72"/>
    <w:rsid w:val="004F0E62"/>
    <w:rsid w:val="004F0F6F"/>
    <w:rsid w:val="004F21E2"/>
    <w:rsid w:val="004F26A2"/>
    <w:rsid w:val="004F2DCB"/>
    <w:rsid w:val="004F2E04"/>
    <w:rsid w:val="004F2F39"/>
    <w:rsid w:val="004F36E1"/>
    <w:rsid w:val="004F3B13"/>
    <w:rsid w:val="004F3E92"/>
    <w:rsid w:val="004F44F8"/>
    <w:rsid w:val="004F59C3"/>
    <w:rsid w:val="004F7364"/>
    <w:rsid w:val="004F7AAB"/>
    <w:rsid w:val="0050035F"/>
    <w:rsid w:val="0050046E"/>
    <w:rsid w:val="00501DA2"/>
    <w:rsid w:val="00502F7E"/>
    <w:rsid w:val="0050313E"/>
    <w:rsid w:val="0050314B"/>
    <w:rsid w:val="005034A1"/>
    <w:rsid w:val="00503A19"/>
    <w:rsid w:val="00503ABE"/>
    <w:rsid w:val="00503EAB"/>
    <w:rsid w:val="005058A9"/>
    <w:rsid w:val="005058C1"/>
    <w:rsid w:val="0050632E"/>
    <w:rsid w:val="0050682F"/>
    <w:rsid w:val="00507732"/>
    <w:rsid w:val="00507A52"/>
    <w:rsid w:val="0051015F"/>
    <w:rsid w:val="00510A8C"/>
    <w:rsid w:val="00510CAA"/>
    <w:rsid w:val="00510EC2"/>
    <w:rsid w:val="005122A9"/>
    <w:rsid w:val="0051372F"/>
    <w:rsid w:val="00513E0E"/>
    <w:rsid w:val="00513F7F"/>
    <w:rsid w:val="00514076"/>
    <w:rsid w:val="0051536D"/>
    <w:rsid w:val="00515801"/>
    <w:rsid w:val="00515AD4"/>
    <w:rsid w:val="00515B07"/>
    <w:rsid w:val="00516283"/>
    <w:rsid w:val="00516498"/>
    <w:rsid w:val="00516BD7"/>
    <w:rsid w:val="00516F29"/>
    <w:rsid w:val="00517057"/>
    <w:rsid w:val="005176C0"/>
    <w:rsid w:val="00520BA3"/>
    <w:rsid w:val="00522594"/>
    <w:rsid w:val="00522631"/>
    <w:rsid w:val="005237B5"/>
    <w:rsid w:val="00523AE6"/>
    <w:rsid w:val="00523BB3"/>
    <w:rsid w:val="00524D4F"/>
    <w:rsid w:val="00525096"/>
    <w:rsid w:val="00525947"/>
    <w:rsid w:val="00525E1B"/>
    <w:rsid w:val="00526118"/>
    <w:rsid w:val="00526C4C"/>
    <w:rsid w:val="005277DB"/>
    <w:rsid w:val="00527C71"/>
    <w:rsid w:val="0053050B"/>
    <w:rsid w:val="005306DE"/>
    <w:rsid w:val="00531A46"/>
    <w:rsid w:val="00531B69"/>
    <w:rsid w:val="00531CD9"/>
    <w:rsid w:val="00532729"/>
    <w:rsid w:val="00533816"/>
    <w:rsid w:val="005344ED"/>
    <w:rsid w:val="00534B73"/>
    <w:rsid w:val="00537387"/>
    <w:rsid w:val="00537688"/>
    <w:rsid w:val="005378D8"/>
    <w:rsid w:val="00537DAB"/>
    <w:rsid w:val="00537FAE"/>
    <w:rsid w:val="00540074"/>
    <w:rsid w:val="00540225"/>
    <w:rsid w:val="00541921"/>
    <w:rsid w:val="00542B08"/>
    <w:rsid w:val="0054330D"/>
    <w:rsid w:val="005433C4"/>
    <w:rsid w:val="0054398C"/>
    <w:rsid w:val="005439EB"/>
    <w:rsid w:val="005455CB"/>
    <w:rsid w:val="00545ABD"/>
    <w:rsid w:val="00546456"/>
    <w:rsid w:val="005466D8"/>
    <w:rsid w:val="005469F7"/>
    <w:rsid w:val="005469FF"/>
    <w:rsid w:val="00547369"/>
    <w:rsid w:val="0054786D"/>
    <w:rsid w:val="00547E3D"/>
    <w:rsid w:val="00550286"/>
    <w:rsid w:val="005507E6"/>
    <w:rsid w:val="00551256"/>
    <w:rsid w:val="00551B93"/>
    <w:rsid w:val="00551E6B"/>
    <w:rsid w:val="00552106"/>
    <w:rsid w:val="00552A36"/>
    <w:rsid w:val="00552F6F"/>
    <w:rsid w:val="005533B0"/>
    <w:rsid w:val="00553B42"/>
    <w:rsid w:val="005541F0"/>
    <w:rsid w:val="00554832"/>
    <w:rsid w:val="005550B5"/>
    <w:rsid w:val="005550F8"/>
    <w:rsid w:val="00555267"/>
    <w:rsid w:val="005552F8"/>
    <w:rsid w:val="0055602F"/>
    <w:rsid w:val="00556CFC"/>
    <w:rsid w:val="0055728C"/>
    <w:rsid w:val="00557BD6"/>
    <w:rsid w:val="00557FA0"/>
    <w:rsid w:val="005606E1"/>
    <w:rsid w:val="00560884"/>
    <w:rsid w:val="00560989"/>
    <w:rsid w:val="00562305"/>
    <w:rsid w:val="00562BA9"/>
    <w:rsid w:val="00562EC0"/>
    <w:rsid w:val="005631F0"/>
    <w:rsid w:val="005638B3"/>
    <w:rsid w:val="0056399D"/>
    <w:rsid w:val="00564024"/>
    <w:rsid w:val="005647C8"/>
    <w:rsid w:val="00564A89"/>
    <w:rsid w:val="00564AB0"/>
    <w:rsid w:val="005653DD"/>
    <w:rsid w:val="00565C6C"/>
    <w:rsid w:val="00565E22"/>
    <w:rsid w:val="00566984"/>
    <w:rsid w:val="005669CD"/>
    <w:rsid w:val="005669E2"/>
    <w:rsid w:val="00566E84"/>
    <w:rsid w:val="00566EE4"/>
    <w:rsid w:val="0056715B"/>
    <w:rsid w:val="005674C8"/>
    <w:rsid w:val="00567C6A"/>
    <w:rsid w:val="00567D1B"/>
    <w:rsid w:val="00570281"/>
    <w:rsid w:val="0057041F"/>
    <w:rsid w:val="0057068E"/>
    <w:rsid w:val="005709AE"/>
    <w:rsid w:val="00570C86"/>
    <w:rsid w:val="00570F71"/>
    <w:rsid w:val="005728B3"/>
    <w:rsid w:val="00572B9E"/>
    <w:rsid w:val="00572BFF"/>
    <w:rsid w:val="00572FCB"/>
    <w:rsid w:val="005730ED"/>
    <w:rsid w:val="0057402C"/>
    <w:rsid w:val="005753CE"/>
    <w:rsid w:val="00577B91"/>
    <w:rsid w:val="005802AF"/>
    <w:rsid w:val="00580C7A"/>
    <w:rsid w:val="00580FCC"/>
    <w:rsid w:val="00582E01"/>
    <w:rsid w:val="00583A2F"/>
    <w:rsid w:val="00583D42"/>
    <w:rsid w:val="00583F9F"/>
    <w:rsid w:val="0058522A"/>
    <w:rsid w:val="00585466"/>
    <w:rsid w:val="00585B10"/>
    <w:rsid w:val="00586006"/>
    <w:rsid w:val="00586093"/>
    <w:rsid w:val="00587303"/>
    <w:rsid w:val="00587572"/>
    <w:rsid w:val="00587582"/>
    <w:rsid w:val="00587A89"/>
    <w:rsid w:val="00587FF4"/>
    <w:rsid w:val="00590076"/>
    <w:rsid w:val="00590724"/>
    <w:rsid w:val="00590802"/>
    <w:rsid w:val="005909A2"/>
    <w:rsid w:val="00590B56"/>
    <w:rsid w:val="00590DE2"/>
    <w:rsid w:val="00590FF0"/>
    <w:rsid w:val="00591133"/>
    <w:rsid w:val="0059144B"/>
    <w:rsid w:val="005914BD"/>
    <w:rsid w:val="00591552"/>
    <w:rsid w:val="00591F7F"/>
    <w:rsid w:val="005925A0"/>
    <w:rsid w:val="00592999"/>
    <w:rsid w:val="00592B81"/>
    <w:rsid w:val="00592BB4"/>
    <w:rsid w:val="005945E7"/>
    <w:rsid w:val="00594650"/>
    <w:rsid w:val="00594F95"/>
    <w:rsid w:val="00595108"/>
    <w:rsid w:val="0059512B"/>
    <w:rsid w:val="005953B9"/>
    <w:rsid w:val="00595A85"/>
    <w:rsid w:val="00595C40"/>
    <w:rsid w:val="00596023"/>
    <w:rsid w:val="005961D0"/>
    <w:rsid w:val="00597125"/>
    <w:rsid w:val="005973E4"/>
    <w:rsid w:val="00597505"/>
    <w:rsid w:val="00597ED6"/>
    <w:rsid w:val="005A0251"/>
    <w:rsid w:val="005A0BEA"/>
    <w:rsid w:val="005A0DE3"/>
    <w:rsid w:val="005A1465"/>
    <w:rsid w:val="005A1747"/>
    <w:rsid w:val="005A27B3"/>
    <w:rsid w:val="005A35F9"/>
    <w:rsid w:val="005A4409"/>
    <w:rsid w:val="005A480A"/>
    <w:rsid w:val="005A5912"/>
    <w:rsid w:val="005A59F2"/>
    <w:rsid w:val="005A6DC2"/>
    <w:rsid w:val="005A72BA"/>
    <w:rsid w:val="005A7F01"/>
    <w:rsid w:val="005B10FE"/>
    <w:rsid w:val="005B12CA"/>
    <w:rsid w:val="005B17A5"/>
    <w:rsid w:val="005B202F"/>
    <w:rsid w:val="005B243E"/>
    <w:rsid w:val="005B2951"/>
    <w:rsid w:val="005B41BE"/>
    <w:rsid w:val="005B4418"/>
    <w:rsid w:val="005B4650"/>
    <w:rsid w:val="005B4D77"/>
    <w:rsid w:val="005B4F44"/>
    <w:rsid w:val="005B51EB"/>
    <w:rsid w:val="005B5BAD"/>
    <w:rsid w:val="005B738B"/>
    <w:rsid w:val="005C0774"/>
    <w:rsid w:val="005C136F"/>
    <w:rsid w:val="005C1756"/>
    <w:rsid w:val="005C176A"/>
    <w:rsid w:val="005C1AD1"/>
    <w:rsid w:val="005C1C72"/>
    <w:rsid w:val="005C1F06"/>
    <w:rsid w:val="005C227C"/>
    <w:rsid w:val="005C27B9"/>
    <w:rsid w:val="005C2B0D"/>
    <w:rsid w:val="005C2C4F"/>
    <w:rsid w:val="005C2CAE"/>
    <w:rsid w:val="005C3589"/>
    <w:rsid w:val="005C40E4"/>
    <w:rsid w:val="005C417D"/>
    <w:rsid w:val="005C43F7"/>
    <w:rsid w:val="005C4455"/>
    <w:rsid w:val="005C4716"/>
    <w:rsid w:val="005C4986"/>
    <w:rsid w:val="005C5177"/>
    <w:rsid w:val="005C5398"/>
    <w:rsid w:val="005C5721"/>
    <w:rsid w:val="005C5F87"/>
    <w:rsid w:val="005C684C"/>
    <w:rsid w:val="005C6906"/>
    <w:rsid w:val="005C7B66"/>
    <w:rsid w:val="005C7DAC"/>
    <w:rsid w:val="005D0563"/>
    <w:rsid w:val="005D0CB7"/>
    <w:rsid w:val="005D1ED1"/>
    <w:rsid w:val="005D1EEA"/>
    <w:rsid w:val="005D23F0"/>
    <w:rsid w:val="005D452C"/>
    <w:rsid w:val="005D4CEF"/>
    <w:rsid w:val="005D504E"/>
    <w:rsid w:val="005D52D7"/>
    <w:rsid w:val="005D565F"/>
    <w:rsid w:val="005D5891"/>
    <w:rsid w:val="005D5C13"/>
    <w:rsid w:val="005D5F7A"/>
    <w:rsid w:val="005D6355"/>
    <w:rsid w:val="005D6531"/>
    <w:rsid w:val="005D66F1"/>
    <w:rsid w:val="005D6EFE"/>
    <w:rsid w:val="005E00C2"/>
    <w:rsid w:val="005E016E"/>
    <w:rsid w:val="005E044F"/>
    <w:rsid w:val="005E10F9"/>
    <w:rsid w:val="005E18EA"/>
    <w:rsid w:val="005E1A78"/>
    <w:rsid w:val="005E1D3A"/>
    <w:rsid w:val="005E33B3"/>
    <w:rsid w:val="005E3562"/>
    <w:rsid w:val="005E3D74"/>
    <w:rsid w:val="005E406B"/>
    <w:rsid w:val="005E52D5"/>
    <w:rsid w:val="005E6A6B"/>
    <w:rsid w:val="005E6A97"/>
    <w:rsid w:val="005E7D28"/>
    <w:rsid w:val="005E7E2D"/>
    <w:rsid w:val="005F11B1"/>
    <w:rsid w:val="005F1DD5"/>
    <w:rsid w:val="005F20F0"/>
    <w:rsid w:val="005F24A5"/>
    <w:rsid w:val="005F3057"/>
    <w:rsid w:val="005F3237"/>
    <w:rsid w:val="005F3909"/>
    <w:rsid w:val="005F61D0"/>
    <w:rsid w:val="005F680E"/>
    <w:rsid w:val="005F728D"/>
    <w:rsid w:val="005F794F"/>
    <w:rsid w:val="005F7C81"/>
    <w:rsid w:val="00600019"/>
    <w:rsid w:val="006003FC"/>
    <w:rsid w:val="00600FC9"/>
    <w:rsid w:val="0060140A"/>
    <w:rsid w:val="00601C3D"/>
    <w:rsid w:val="00601FB2"/>
    <w:rsid w:val="00601FB7"/>
    <w:rsid w:val="006030B0"/>
    <w:rsid w:val="0060327D"/>
    <w:rsid w:val="00603717"/>
    <w:rsid w:val="00603920"/>
    <w:rsid w:val="0060427E"/>
    <w:rsid w:val="00605A48"/>
    <w:rsid w:val="00607997"/>
    <w:rsid w:val="00607CB3"/>
    <w:rsid w:val="00610330"/>
    <w:rsid w:val="00610385"/>
    <w:rsid w:val="0061087C"/>
    <w:rsid w:val="00610BC9"/>
    <w:rsid w:val="00611462"/>
    <w:rsid w:val="006117AD"/>
    <w:rsid w:val="006119C6"/>
    <w:rsid w:val="00612C9B"/>
    <w:rsid w:val="006132DC"/>
    <w:rsid w:val="006137AC"/>
    <w:rsid w:val="00613A12"/>
    <w:rsid w:val="00615152"/>
    <w:rsid w:val="00616F00"/>
    <w:rsid w:val="00616F58"/>
    <w:rsid w:val="006171AE"/>
    <w:rsid w:val="0061761B"/>
    <w:rsid w:val="00617645"/>
    <w:rsid w:val="00617678"/>
    <w:rsid w:val="0062086D"/>
    <w:rsid w:val="00620FF1"/>
    <w:rsid w:val="00621948"/>
    <w:rsid w:val="00621F68"/>
    <w:rsid w:val="006225AD"/>
    <w:rsid w:val="006228D6"/>
    <w:rsid w:val="00622D7F"/>
    <w:rsid w:val="00623642"/>
    <w:rsid w:val="00623716"/>
    <w:rsid w:val="00623C80"/>
    <w:rsid w:val="00624941"/>
    <w:rsid w:val="00624997"/>
    <w:rsid w:val="00624BC0"/>
    <w:rsid w:val="006266B0"/>
    <w:rsid w:val="00626767"/>
    <w:rsid w:val="00626ED7"/>
    <w:rsid w:val="00627604"/>
    <w:rsid w:val="00631E23"/>
    <w:rsid w:val="0063273D"/>
    <w:rsid w:val="00632E2E"/>
    <w:rsid w:val="00633798"/>
    <w:rsid w:val="00634332"/>
    <w:rsid w:val="00634932"/>
    <w:rsid w:val="00634F20"/>
    <w:rsid w:val="00635702"/>
    <w:rsid w:val="00635955"/>
    <w:rsid w:val="00635A90"/>
    <w:rsid w:val="00635D02"/>
    <w:rsid w:val="00636812"/>
    <w:rsid w:val="006368AA"/>
    <w:rsid w:val="0063718A"/>
    <w:rsid w:val="00640606"/>
    <w:rsid w:val="00640869"/>
    <w:rsid w:val="00640EAB"/>
    <w:rsid w:val="00641095"/>
    <w:rsid w:val="00641ADE"/>
    <w:rsid w:val="00643B91"/>
    <w:rsid w:val="00643CDD"/>
    <w:rsid w:val="006448B4"/>
    <w:rsid w:val="006448D7"/>
    <w:rsid w:val="00645C2E"/>
    <w:rsid w:val="0064739D"/>
    <w:rsid w:val="006479E3"/>
    <w:rsid w:val="00647ACB"/>
    <w:rsid w:val="00650283"/>
    <w:rsid w:val="00650B1A"/>
    <w:rsid w:val="00650BC4"/>
    <w:rsid w:val="006510B2"/>
    <w:rsid w:val="00651346"/>
    <w:rsid w:val="006521B7"/>
    <w:rsid w:val="00652A15"/>
    <w:rsid w:val="00652D98"/>
    <w:rsid w:val="006539C6"/>
    <w:rsid w:val="00654DC6"/>
    <w:rsid w:val="00656CFD"/>
    <w:rsid w:val="00656FBA"/>
    <w:rsid w:val="00657952"/>
    <w:rsid w:val="00657E36"/>
    <w:rsid w:val="0066025D"/>
    <w:rsid w:val="0066048B"/>
    <w:rsid w:val="00660AAC"/>
    <w:rsid w:val="00662623"/>
    <w:rsid w:val="00662B7D"/>
    <w:rsid w:val="0066320D"/>
    <w:rsid w:val="00663296"/>
    <w:rsid w:val="00663A58"/>
    <w:rsid w:val="00664377"/>
    <w:rsid w:val="006645D0"/>
    <w:rsid w:val="00664963"/>
    <w:rsid w:val="006660A3"/>
    <w:rsid w:val="00666116"/>
    <w:rsid w:val="00666A1B"/>
    <w:rsid w:val="0066742F"/>
    <w:rsid w:val="00670004"/>
    <w:rsid w:val="00670203"/>
    <w:rsid w:val="0067137E"/>
    <w:rsid w:val="00671FA7"/>
    <w:rsid w:val="0067247E"/>
    <w:rsid w:val="0067293F"/>
    <w:rsid w:val="00673D39"/>
    <w:rsid w:val="00674030"/>
    <w:rsid w:val="00674084"/>
    <w:rsid w:val="00674F74"/>
    <w:rsid w:val="0067558B"/>
    <w:rsid w:val="00675AAC"/>
    <w:rsid w:val="00675F03"/>
    <w:rsid w:val="00675F87"/>
    <w:rsid w:val="00676A2D"/>
    <w:rsid w:val="00676CEE"/>
    <w:rsid w:val="0067722E"/>
    <w:rsid w:val="006772FC"/>
    <w:rsid w:val="0067743C"/>
    <w:rsid w:val="00677A69"/>
    <w:rsid w:val="00677D3E"/>
    <w:rsid w:val="00677FAD"/>
    <w:rsid w:val="006807F4"/>
    <w:rsid w:val="00680BA9"/>
    <w:rsid w:val="00682499"/>
    <w:rsid w:val="006828B3"/>
    <w:rsid w:val="00683239"/>
    <w:rsid w:val="006839FF"/>
    <w:rsid w:val="00683C21"/>
    <w:rsid w:val="00684A3D"/>
    <w:rsid w:val="006862B2"/>
    <w:rsid w:val="0068636B"/>
    <w:rsid w:val="0068656A"/>
    <w:rsid w:val="00686B20"/>
    <w:rsid w:val="00687307"/>
    <w:rsid w:val="006876B2"/>
    <w:rsid w:val="00687B10"/>
    <w:rsid w:val="006906AF"/>
    <w:rsid w:val="0069121E"/>
    <w:rsid w:val="0069174A"/>
    <w:rsid w:val="00691D04"/>
    <w:rsid w:val="00691EF4"/>
    <w:rsid w:val="00691FAB"/>
    <w:rsid w:val="00691FCA"/>
    <w:rsid w:val="006925C7"/>
    <w:rsid w:val="00692676"/>
    <w:rsid w:val="00692B0A"/>
    <w:rsid w:val="006933CC"/>
    <w:rsid w:val="0069351B"/>
    <w:rsid w:val="006940D4"/>
    <w:rsid w:val="00694557"/>
    <w:rsid w:val="00694AF9"/>
    <w:rsid w:val="00695953"/>
    <w:rsid w:val="0069643C"/>
    <w:rsid w:val="00696B4A"/>
    <w:rsid w:val="006976E8"/>
    <w:rsid w:val="006979AC"/>
    <w:rsid w:val="00697AC7"/>
    <w:rsid w:val="00697CC3"/>
    <w:rsid w:val="006A0BFC"/>
    <w:rsid w:val="006A10BB"/>
    <w:rsid w:val="006A2A87"/>
    <w:rsid w:val="006A2BD1"/>
    <w:rsid w:val="006A2E32"/>
    <w:rsid w:val="006A2E69"/>
    <w:rsid w:val="006A2EC7"/>
    <w:rsid w:val="006A3227"/>
    <w:rsid w:val="006A3BD0"/>
    <w:rsid w:val="006A40E9"/>
    <w:rsid w:val="006A4227"/>
    <w:rsid w:val="006A47F2"/>
    <w:rsid w:val="006A4858"/>
    <w:rsid w:val="006A4AA1"/>
    <w:rsid w:val="006A5757"/>
    <w:rsid w:val="006A5896"/>
    <w:rsid w:val="006A631A"/>
    <w:rsid w:val="006A6F63"/>
    <w:rsid w:val="006A71DC"/>
    <w:rsid w:val="006A7342"/>
    <w:rsid w:val="006A795C"/>
    <w:rsid w:val="006A7BA0"/>
    <w:rsid w:val="006A7D68"/>
    <w:rsid w:val="006B0006"/>
    <w:rsid w:val="006B00EC"/>
    <w:rsid w:val="006B06DF"/>
    <w:rsid w:val="006B09A1"/>
    <w:rsid w:val="006B1108"/>
    <w:rsid w:val="006B1E7A"/>
    <w:rsid w:val="006B2084"/>
    <w:rsid w:val="006B2D6D"/>
    <w:rsid w:val="006B39B6"/>
    <w:rsid w:val="006B40CF"/>
    <w:rsid w:val="006B4956"/>
    <w:rsid w:val="006B4ADE"/>
    <w:rsid w:val="006B4EB5"/>
    <w:rsid w:val="006B5D04"/>
    <w:rsid w:val="006B627B"/>
    <w:rsid w:val="006B6476"/>
    <w:rsid w:val="006B6785"/>
    <w:rsid w:val="006B6DDD"/>
    <w:rsid w:val="006B738A"/>
    <w:rsid w:val="006B7EFA"/>
    <w:rsid w:val="006C0A82"/>
    <w:rsid w:val="006C14D9"/>
    <w:rsid w:val="006C3022"/>
    <w:rsid w:val="006C3F84"/>
    <w:rsid w:val="006C43BA"/>
    <w:rsid w:val="006C503F"/>
    <w:rsid w:val="006C5D2F"/>
    <w:rsid w:val="006D08FF"/>
    <w:rsid w:val="006D1372"/>
    <w:rsid w:val="006D2A56"/>
    <w:rsid w:val="006D36E9"/>
    <w:rsid w:val="006D3756"/>
    <w:rsid w:val="006D3A69"/>
    <w:rsid w:val="006D4753"/>
    <w:rsid w:val="006D4CEB"/>
    <w:rsid w:val="006D50F8"/>
    <w:rsid w:val="006D51FD"/>
    <w:rsid w:val="006D58B8"/>
    <w:rsid w:val="006D5D7F"/>
    <w:rsid w:val="006D6827"/>
    <w:rsid w:val="006D7550"/>
    <w:rsid w:val="006D759B"/>
    <w:rsid w:val="006D794B"/>
    <w:rsid w:val="006D79E5"/>
    <w:rsid w:val="006E0777"/>
    <w:rsid w:val="006E07A1"/>
    <w:rsid w:val="006E0887"/>
    <w:rsid w:val="006E0AEC"/>
    <w:rsid w:val="006E13E6"/>
    <w:rsid w:val="006E2F65"/>
    <w:rsid w:val="006E411F"/>
    <w:rsid w:val="006E4608"/>
    <w:rsid w:val="006E4FC9"/>
    <w:rsid w:val="006E5035"/>
    <w:rsid w:val="006E67AA"/>
    <w:rsid w:val="006E6A9A"/>
    <w:rsid w:val="006E71D3"/>
    <w:rsid w:val="006E7B78"/>
    <w:rsid w:val="006F0300"/>
    <w:rsid w:val="006F1C6C"/>
    <w:rsid w:val="006F1F92"/>
    <w:rsid w:val="006F2510"/>
    <w:rsid w:val="006F274E"/>
    <w:rsid w:val="006F3428"/>
    <w:rsid w:val="006F49F1"/>
    <w:rsid w:val="006F4B49"/>
    <w:rsid w:val="006F61AF"/>
    <w:rsid w:val="006F6289"/>
    <w:rsid w:val="006F7348"/>
    <w:rsid w:val="0070050B"/>
    <w:rsid w:val="00700BDB"/>
    <w:rsid w:val="00701DC0"/>
    <w:rsid w:val="00701F81"/>
    <w:rsid w:val="00702647"/>
    <w:rsid w:val="00702B9D"/>
    <w:rsid w:val="00702C60"/>
    <w:rsid w:val="0070300A"/>
    <w:rsid w:val="00705666"/>
    <w:rsid w:val="00705EA6"/>
    <w:rsid w:val="007063DC"/>
    <w:rsid w:val="00706455"/>
    <w:rsid w:val="00706D3E"/>
    <w:rsid w:val="00706F6E"/>
    <w:rsid w:val="00707EA5"/>
    <w:rsid w:val="00710137"/>
    <w:rsid w:val="00711271"/>
    <w:rsid w:val="00711A14"/>
    <w:rsid w:val="00711DD2"/>
    <w:rsid w:val="007130E7"/>
    <w:rsid w:val="00713ECD"/>
    <w:rsid w:val="00714499"/>
    <w:rsid w:val="00714E14"/>
    <w:rsid w:val="007156C8"/>
    <w:rsid w:val="00720593"/>
    <w:rsid w:val="0072108D"/>
    <w:rsid w:val="00722806"/>
    <w:rsid w:val="00723A5A"/>
    <w:rsid w:val="00723E90"/>
    <w:rsid w:val="00724E4D"/>
    <w:rsid w:val="00725145"/>
    <w:rsid w:val="007259A5"/>
    <w:rsid w:val="00725D22"/>
    <w:rsid w:val="0072612D"/>
    <w:rsid w:val="0072650D"/>
    <w:rsid w:val="007266BC"/>
    <w:rsid w:val="0072693D"/>
    <w:rsid w:val="00726B74"/>
    <w:rsid w:val="0072770E"/>
    <w:rsid w:val="007277B1"/>
    <w:rsid w:val="00727B83"/>
    <w:rsid w:val="00730608"/>
    <w:rsid w:val="00730787"/>
    <w:rsid w:val="0073202D"/>
    <w:rsid w:val="00732DE5"/>
    <w:rsid w:val="00732FBD"/>
    <w:rsid w:val="00733660"/>
    <w:rsid w:val="00733707"/>
    <w:rsid w:val="00733905"/>
    <w:rsid w:val="0073447A"/>
    <w:rsid w:val="00734487"/>
    <w:rsid w:val="007352AC"/>
    <w:rsid w:val="00736509"/>
    <w:rsid w:val="00736908"/>
    <w:rsid w:val="00737161"/>
    <w:rsid w:val="0074008E"/>
    <w:rsid w:val="00740A34"/>
    <w:rsid w:val="007414D2"/>
    <w:rsid w:val="00741D91"/>
    <w:rsid w:val="007421D4"/>
    <w:rsid w:val="0074231F"/>
    <w:rsid w:val="00742771"/>
    <w:rsid w:val="00742F5C"/>
    <w:rsid w:val="0074350D"/>
    <w:rsid w:val="00744035"/>
    <w:rsid w:val="00745B65"/>
    <w:rsid w:val="00745C87"/>
    <w:rsid w:val="00746ABA"/>
    <w:rsid w:val="00746BCD"/>
    <w:rsid w:val="00746EDE"/>
    <w:rsid w:val="00746F82"/>
    <w:rsid w:val="0074721B"/>
    <w:rsid w:val="00747A77"/>
    <w:rsid w:val="00747BC0"/>
    <w:rsid w:val="00747FB3"/>
    <w:rsid w:val="0075054D"/>
    <w:rsid w:val="007510AD"/>
    <w:rsid w:val="007512C8"/>
    <w:rsid w:val="007530BD"/>
    <w:rsid w:val="0075350B"/>
    <w:rsid w:val="00756FDC"/>
    <w:rsid w:val="00760950"/>
    <w:rsid w:val="00760E0F"/>
    <w:rsid w:val="007615AE"/>
    <w:rsid w:val="00762172"/>
    <w:rsid w:val="00763253"/>
    <w:rsid w:val="0076345E"/>
    <w:rsid w:val="00763685"/>
    <w:rsid w:val="00763C46"/>
    <w:rsid w:val="007641C3"/>
    <w:rsid w:val="00765B14"/>
    <w:rsid w:val="00766327"/>
    <w:rsid w:val="00766AB9"/>
    <w:rsid w:val="00766F0D"/>
    <w:rsid w:val="007670E8"/>
    <w:rsid w:val="007679E2"/>
    <w:rsid w:val="00767A57"/>
    <w:rsid w:val="00767AFB"/>
    <w:rsid w:val="007704E7"/>
    <w:rsid w:val="0077148C"/>
    <w:rsid w:val="00771711"/>
    <w:rsid w:val="0077179D"/>
    <w:rsid w:val="00772381"/>
    <w:rsid w:val="00772757"/>
    <w:rsid w:val="00773AC0"/>
    <w:rsid w:val="00773D85"/>
    <w:rsid w:val="00773F12"/>
    <w:rsid w:val="00774A66"/>
    <w:rsid w:val="00774BE2"/>
    <w:rsid w:val="00775D63"/>
    <w:rsid w:val="00775EFA"/>
    <w:rsid w:val="0077624D"/>
    <w:rsid w:val="0077678E"/>
    <w:rsid w:val="007774E6"/>
    <w:rsid w:val="00777B08"/>
    <w:rsid w:val="007801AB"/>
    <w:rsid w:val="00780F1C"/>
    <w:rsid w:val="00781411"/>
    <w:rsid w:val="00781506"/>
    <w:rsid w:val="00781F0C"/>
    <w:rsid w:val="00782D45"/>
    <w:rsid w:val="00782F93"/>
    <w:rsid w:val="007848B6"/>
    <w:rsid w:val="00784A98"/>
    <w:rsid w:val="00784B64"/>
    <w:rsid w:val="0078581C"/>
    <w:rsid w:val="00786205"/>
    <w:rsid w:val="00786526"/>
    <w:rsid w:val="00787C8F"/>
    <w:rsid w:val="00790CD9"/>
    <w:rsid w:val="007914CE"/>
    <w:rsid w:val="007918F1"/>
    <w:rsid w:val="00791CEB"/>
    <w:rsid w:val="00792367"/>
    <w:rsid w:val="00792D39"/>
    <w:rsid w:val="00793869"/>
    <w:rsid w:val="007939A2"/>
    <w:rsid w:val="00793F1D"/>
    <w:rsid w:val="007941FD"/>
    <w:rsid w:val="00794397"/>
    <w:rsid w:val="007948A7"/>
    <w:rsid w:val="00794C58"/>
    <w:rsid w:val="00795DD4"/>
    <w:rsid w:val="00796B8D"/>
    <w:rsid w:val="00797051"/>
    <w:rsid w:val="00797121"/>
    <w:rsid w:val="0079727E"/>
    <w:rsid w:val="00797600"/>
    <w:rsid w:val="007977CF"/>
    <w:rsid w:val="00797BE4"/>
    <w:rsid w:val="007A180C"/>
    <w:rsid w:val="007A1DE8"/>
    <w:rsid w:val="007A23D1"/>
    <w:rsid w:val="007A279F"/>
    <w:rsid w:val="007A3882"/>
    <w:rsid w:val="007A418A"/>
    <w:rsid w:val="007A4BED"/>
    <w:rsid w:val="007A5A31"/>
    <w:rsid w:val="007A5A88"/>
    <w:rsid w:val="007A61F4"/>
    <w:rsid w:val="007A6D45"/>
    <w:rsid w:val="007B04F7"/>
    <w:rsid w:val="007B0791"/>
    <w:rsid w:val="007B1B1C"/>
    <w:rsid w:val="007B2734"/>
    <w:rsid w:val="007B2851"/>
    <w:rsid w:val="007B2B41"/>
    <w:rsid w:val="007B3DD7"/>
    <w:rsid w:val="007B3E13"/>
    <w:rsid w:val="007B48B3"/>
    <w:rsid w:val="007B4B70"/>
    <w:rsid w:val="007B6078"/>
    <w:rsid w:val="007B6262"/>
    <w:rsid w:val="007B62BF"/>
    <w:rsid w:val="007B73C6"/>
    <w:rsid w:val="007B750C"/>
    <w:rsid w:val="007B7C71"/>
    <w:rsid w:val="007C0C8E"/>
    <w:rsid w:val="007C0F88"/>
    <w:rsid w:val="007C164F"/>
    <w:rsid w:val="007C1EA6"/>
    <w:rsid w:val="007C1F12"/>
    <w:rsid w:val="007C278D"/>
    <w:rsid w:val="007C3686"/>
    <w:rsid w:val="007C382B"/>
    <w:rsid w:val="007C435B"/>
    <w:rsid w:val="007C56E9"/>
    <w:rsid w:val="007C58D8"/>
    <w:rsid w:val="007C6CB4"/>
    <w:rsid w:val="007C77BE"/>
    <w:rsid w:val="007C7A70"/>
    <w:rsid w:val="007D17C2"/>
    <w:rsid w:val="007D19D6"/>
    <w:rsid w:val="007D1FEA"/>
    <w:rsid w:val="007D2214"/>
    <w:rsid w:val="007D23DB"/>
    <w:rsid w:val="007D280E"/>
    <w:rsid w:val="007D2BF4"/>
    <w:rsid w:val="007D3583"/>
    <w:rsid w:val="007D3989"/>
    <w:rsid w:val="007D3BFF"/>
    <w:rsid w:val="007D4555"/>
    <w:rsid w:val="007D4701"/>
    <w:rsid w:val="007D4B8B"/>
    <w:rsid w:val="007D529E"/>
    <w:rsid w:val="007D52DD"/>
    <w:rsid w:val="007D7379"/>
    <w:rsid w:val="007D7926"/>
    <w:rsid w:val="007D7A96"/>
    <w:rsid w:val="007E0478"/>
    <w:rsid w:val="007E04D1"/>
    <w:rsid w:val="007E1206"/>
    <w:rsid w:val="007E130E"/>
    <w:rsid w:val="007E1D08"/>
    <w:rsid w:val="007E21C1"/>
    <w:rsid w:val="007E375E"/>
    <w:rsid w:val="007E3DA3"/>
    <w:rsid w:val="007E4226"/>
    <w:rsid w:val="007E439C"/>
    <w:rsid w:val="007E5192"/>
    <w:rsid w:val="007E588A"/>
    <w:rsid w:val="007E5EE8"/>
    <w:rsid w:val="007E5FB9"/>
    <w:rsid w:val="007E63E4"/>
    <w:rsid w:val="007E6C97"/>
    <w:rsid w:val="007E7052"/>
    <w:rsid w:val="007E786F"/>
    <w:rsid w:val="007F092E"/>
    <w:rsid w:val="007F0967"/>
    <w:rsid w:val="007F102B"/>
    <w:rsid w:val="007F158B"/>
    <w:rsid w:val="007F171E"/>
    <w:rsid w:val="007F1895"/>
    <w:rsid w:val="007F2F58"/>
    <w:rsid w:val="007F3231"/>
    <w:rsid w:val="007F37AD"/>
    <w:rsid w:val="007F3C7D"/>
    <w:rsid w:val="007F42BD"/>
    <w:rsid w:val="007F4B40"/>
    <w:rsid w:val="007F4C7C"/>
    <w:rsid w:val="007F53D4"/>
    <w:rsid w:val="007F59F1"/>
    <w:rsid w:val="007F606B"/>
    <w:rsid w:val="007F6286"/>
    <w:rsid w:val="007F640B"/>
    <w:rsid w:val="007F647F"/>
    <w:rsid w:val="007F6FBE"/>
    <w:rsid w:val="007F77C3"/>
    <w:rsid w:val="008006E9"/>
    <w:rsid w:val="00800B8E"/>
    <w:rsid w:val="00801927"/>
    <w:rsid w:val="0080371B"/>
    <w:rsid w:val="0080470D"/>
    <w:rsid w:val="008049DF"/>
    <w:rsid w:val="00804CC8"/>
    <w:rsid w:val="00804EC4"/>
    <w:rsid w:val="0080567C"/>
    <w:rsid w:val="00805A19"/>
    <w:rsid w:val="00805EDA"/>
    <w:rsid w:val="00806750"/>
    <w:rsid w:val="00806A08"/>
    <w:rsid w:val="00806EE0"/>
    <w:rsid w:val="00807588"/>
    <w:rsid w:val="0081028E"/>
    <w:rsid w:val="00811403"/>
    <w:rsid w:val="00811AAE"/>
    <w:rsid w:val="008123B9"/>
    <w:rsid w:val="00813F38"/>
    <w:rsid w:val="008153B3"/>
    <w:rsid w:val="00815D4D"/>
    <w:rsid w:val="0081714E"/>
    <w:rsid w:val="008173F6"/>
    <w:rsid w:val="00817787"/>
    <w:rsid w:val="00817A40"/>
    <w:rsid w:val="00817AEF"/>
    <w:rsid w:val="00817E6A"/>
    <w:rsid w:val="0082071E"/>
    <w:rsid w:val="008209A3"/>
    <w:rsid w:val="00821AE6"/>
    <w:rsid w:val="00821FE0"/>
    <w:rsid w:val="00822096"/>
    <w:rsid w:val="0082219C"/>
    <w:rsid w:val="008222A1"/>
    <w:rsid w:val="0082306A"/>
    <w:rsid w:val="008238D2"/>
    <w:rsid w:val="0082411F"/>
    <w:rsid w:val="008244E2"/>
    <w:rsid w:val="00824937"/>
    <w:rsid w:val="00824AB0"/>
    <w:rsid w:val="00825746"/>
    <w:rsid w:val="00825C7B"/>
    <w:rsid w:val="00825CB2"/>
    <w:rsid w:val="00826691"/>
    <w:rsid w:val="00826A04"/>
    <w:rsid w:val="00826D51"/>
    <w:rsid w:val="00830258"/>
    <w:rsid w:val="00830752"/>
    <w:rsid w:val="00830C5D"/>
    <w:rsid w:val="008310AA"/>
    <w:rsid w:val="00831656"/>
    <w:rsid w:val="00831949"/>
    <w:rsid w:val="00831FB1"/>
    <w:rsid w:val="0083213A"/>
    <w:rsid w:val="008327B3"/>
    <w:rsid w:val="00833BD7"/>
    <w:rsid w:val="00835512"/>
    <w:rsid w:val="00835DA2"/>
    <w:rsid w:val="00836800"/>
    <w:rsid w:val="00836E8F"/>
    <w:rsid w:val="008370B2"/>
    <w:rsid w:val="00837922"/>
    <w:rsid w:val="00837F8C"/>
    <w:rsid w:val="00840F67"/>
    <w:rsid w:val="008414EA"/>
    <w:rsid w:val="00841552"/>
    <w:rsid w:val="008415A3"/>
    <w:rsid w:val="008415AE"/>
    <w:rsid w:val="00842175"/>
    <w:rsid w:val="00842469"/>
    <w:rsid w:val="00843428"/>
    <w:rsid w:val="00843553"/>
    <w:rsid w:val="00843986"/>
    <w:rsid w:val="00843B4A"/>
    <w:rsid w:val="00844EBE"/>
    <w:rsid w:val="008458B0"/>
    <w:rsid w:val="00846290"/>
    <w:rsid w:val="00847032"/>
    <w:rsid w:val="00847397"/>
    <w:rsid w:val="00850A7A"/>
    <w:rsid w:val="00851254"/>
    <w:rsid w:val="00851620"/>
    <w:rsid w:val="00852878"/>
    <w:rsid w:val="00852896"/>
    <w:rsid w:val="00852ADB"/>
    <w:rsid w:val="00854D4B"/>
    <w:rsid w:val="008555CB"/>
    <w:rsid w:val="008556CA"/>
    <w:rsid w:val="00855797"/>
    <w:rsid w:val="00856477"/>
    <w:rsid w:val="00856EFC"/>
    <w:rsid w:val="00857A8B"/>
    <w:rsid w:val="008602DB"/>
    <w:rsid w:val="00861412"/>
    <w:rsid w:val="00861CA3"/>
    <w:rsid w:val="00861F46"/>
    <w:rsid w:val="0086283C"/>
    <w:rsid w:val="00862933"/>
    <w:rsid w:val="00863B4E"/>
    <w:rsid w:val="008654B4"/>
    <w:rsid w:val="00865BA2"/>
    <w:rsid w:val="00865CBF"/>
    <w:rsid w:val="008666AA"/>
    <w:rsid w:val="00867260"/>
    <w:rsid w:val="008672B5"/>
    <w:rsid w:val="008674CD"/>
    <w:rsid w:val="0087036E"/>
    <w:rsid w:val="00870D59"/>
    <w:rsid w:val="00871938"/>
    <w:rsid w:val="00872381"/>
    <w:rsid w:val="008732FF"/>
    <w:rsid w:val="008736A0"/>
    <w:rsid w:val="008738CA"/>
    <w:rsid w:val="00873DF5"/>
    <w:rsid w:val="0087412C"/>
    <w:rsid w:val="00874223"/>
    <w:rsid w:val="0087433A"/>
    <w:rsid w:val="0087501F"/>
    <w:rsid w:val="00875040"/>
    <w:rsid w:val="00875CEB"/>
    <w:rsid w:val="008776FD"/>
    <w:rsid w:val="00880744"/>
    <w:rsid w:val="00881364"/>
    <w:rsid w:val="008817D7"/>
    <w:rsid w:val="0088183F"/>
    <w:rsid w:val="00881ABF"/>
    <w:rsid w:val="00881E96"/>
    <w:rsid w:val="008827A7"/>
    <w:rsid w:val="00882AB3"/>
    <w:rsid w:val="00883BC3"/>
    <w:rsid w:val="00883D95"/>
    <w:rsid w:val="00883F93"/>
    <w:rsid w:val="00884B2E"/>
    <w:rsid w:val="00884E8E"/>
    <w:rsid w:val="0088501F"/>
    <w:rsid w:val="00886667"/>
    <w:rsid w:val="008868ED"/>
    <w:rsid w:val="00886CEF"/>
    <w:rsid w:val="00887114"/>
    <w:rsid w:val="0088715D"/>
    <w:rsid w:val="008875FE"/>
    <w:rsid w:val="008878D8"/>
    <w:rsid w:val="00887C91"/>
    <w:rsid w:val="00890792"/>
    <w:rsid w:val="008907F9"/>
    <w:rsid w:val="00890F72"/>
    <w:rsid w:val="00890FA7"/>
    <w:rsid w:val="00891B9E"/>
    <w:rsid w:val="008933F2"/>
    <w:rsid w:val="008934FD"/>
    <w:rsid w:val="00893BA4"/>
    <w:rsid w:val="0089410A"/>
    <w:rsid w:val="00894BE5"/>
    <w:rsid w:val="00894DB0"/>
    <w:rsid w:val="00895036"/>
    <w:rsid w:val="00895335"/>
    <w:rsid w:val="008953B1"/>
    <w:rsid w:val="00895796"/>
    <w:rsid w:val="00895989"/>
    <w:rsid w:val="00895ADD"/>
    <w:rsid w:val="00895F3C"/>
    <w:rsid w:val="008964C8"/>
    <w:rsid w:val="008965F8"/>
    <w:rsid w:val="00896B7E"/>
    <w:rsid w:val="00896EB8"/>
    <w:rsid w:val="00897418"/>
    <w:rsid w:val="008979C6"/>
    <w:rsid w:val="008A015E"/>
    <w:rsid w:val="008A0474"/>
    <w:rsid w:val="008A082A"/>
    <w:rsid w:val="008A0872"/>
    <w:rsid w:val="008A106F"/>
    <w:rsid w:val="008A1346"/>
    <w:rsid w:val="008A2081"/>
    <w:rsid w:val="008A21CB"/>
    <w:rsid w:val="008A239E"/>
    <w:rsid w:val="008A2561"/>
    <w:rsid w:val="008A28A6"/>
    <w:rsid w:val="008A2B32"/>
    <w:rsid w:val="008A3846"/>
    <w:rsid w:val="008A415C"/>
    <w:rsid w:val="008A5D6F"/>
    <w:rsid w:val="008A5E44"/>
    <w:rsid w:val="008A62C9"/>
    <w:rsid w:val="008A6C82"/>
    <w:rsid w:val="008A6D7E"/>
    <w:rsid w:val="008A7B1E"/>
    <w:rsid w:val="008B0618"/>
    <w:rsid w:val="008B09C5"/>
    <w:rsid w:val="008B0ABD"/>
    <w:rsid w:val="008B1EA2"/>
    <w:rsid w:val="008B239A"/>
    <w:rsid w:val="008B2934"/>
    <w:rsid w:val="008B2A30"/>
    <w:rsid w:val="008B2A5A"/>
    <w:rsid w:val="008B2C5C"/>
    <w:rsid w:val="008B3E78"/>
    <w:rsid w:val="008B40F8"/>
    <w:rsid w:val="008B450D"/>
    <w:rsid w:val="008B4664"/>
    <w:rsid w:val="008B638D"/>
    <w:rsid w:val="008B6400"/>
    <w:rsid w:val="008B6571"/>
    <w:rsid w:val="008B690C"/>
    <w:rsid w:val="008B6F40"/>
    <w:rsid w:val="008C0208"/>
    <w:rsid w:val="008C182E"/>
    <w:rsid w:val="008C24EA"/>
    <w:rsid w:val="008C25DD"/>
    <w:rsid w:val="008C2697"/>
    <w:rsid w:val="008C2B74"/>
    <w:rsid w:val="008C4589"/>
    <w:rsid w:val="008C5772"/>
    <w:rsid w:val="008C6F01"/>
    <w:rsid w:val="008C6F19"/>
    <w:rsid w:val="008C7242"/>
    <w:rsid w:val="008C785D"/>
    <w:rsid w:val="008D07D0"/>
    <w:rsid w:val="008D08C1"/>
    <w:rsid w:val="008D0C0C"/>
    <w:rsid w:val="008D0C14"/>
    <w:rsid w:val="008D0C43"/>
    <w:rsid w:val="008D3669"/>
    <w:rsid w:val="008D3C9E"/>
    <w:rsid w:val="008D5266"/>
    <w:rsid w:val="008D5876"/>
    <w:rsid w:val="008D606C"/>
    <w:rsid w:val="008D6183"/>
    <w:rsid w:val="008D658C"/>
    <w:rsid w:val="008D7BF0"/>
    <w:rsid w:val="008E0087"/>
    <w:rsid w:val="008E08E7"/>
    <w:rsid w:val="008E1359"/>
    <w:rsid w:val="008E155C"/>
    <w:rsid w:val="008E259C"/>
    <w:rsid w:val="008E2C0B"/>
    <w:rsid w:val="008E3351"/>
    <w:rsid w:val="008E35E8"/>
    <w:rsid w:val="008E3844"/>
    <w:rsid w:val="008E4310"/>
    <w:rsid w:val="008E47FA"/>
    <w:rsid w:val="008E4D84"/>
    <w:rsid w:val="008E4D87"/>
    <w:rsid w:val="008E5433"/>
    <w:rsid w:val="008E5F33"/>
    <w:rsid w:val="008E616D"/>
    <w:rsid w:val="008E64CA"/>
    <w:rsid w:val="008E657F"/>
    <w:rsid w:val="008E6B39"/>
    <w:rsid w:val="008E6D40"/>
    <w:rsid w:val="008E6D61"/>
    <w:rsid w:val="008E7E36"/>
    <w:rsid w:val="008E7F25"/>
    <w:rsid w:val="008F0161"/>
    <w:rsid w:val="008F041B"/>
    <w:rsid w:val="008F0A36"/>
    <w:rsid w:val="008F1338"/>
    <w:rsid w:val="008F13DD"/>
    <w:rsid w:val="008F16A4"/>
    <w:rsid w:val="008F1C99"/>
    <w:rsid w:val="008F31AC"/>
    <w:rsid w:val="008F341A"/>
    <w:rsid w:val="008F3523"/>
    <w:rsid w:val="008F3950"/>
    <w:rsid w:val="008F3B65"/>
    <w:rsid w:val="008F3D67"/>
    <w:rsid w:val="008F4269"/>
    <w:rsid w:val="008F5588"/>
    <w:rsid w:val="008F57C8"/>
    <w:rsid w:val="008F631E"/>
    <w:rsid w:val="008F6E4E"/>
    <w:rsid w:val="008F7136"/>
    <w:rsid w:val="008F762A"/>
    <w:rsid w:val="008F7A4E"/>
    <w:rsid w:val="008F7F43"/>
    <w:rsid w:val="009001CD"/>
    <w:rsid w:val="009002F6"/>
    <w:rsid w:val="009003C8"/>
    <w:rsid w:val="009005B7"/>
    <w:rsid w:val="00900FFC"/>
    <w:rsid w:val="009013CD"/>
    <w:rsid w:val="00901654"/>
    <w:rsid w:val="00901C4F"/>
    <w:rsid w:val="0090310C"/>
    <w:rsid w:val="00903F02"/>
    <w:rsid w:val="0090416B"/>
    <w:rsid w:val="009051DD"/>
    <w:rsid w:val="00905399"/>
    <w:rsid w:val="009058FB"/>
    <w:rsid w:val="00906FD8"/>
    <w:rsid w:val="00907563"/>
    <w:rsid w:val="0091010C"/>
    <w:rsid w:val="00911964"/>
    <w:rsid w:val="00911992"/>
    <w:rsid w:val="00911AAA"/>
    <w:rsid w:val="00911B45"/>
    <w:rsid w:val="009146E4"/>
    <w:rsid w:val="00914D9D"/>
    <w:rsid w:val="00916E87"/>
    <w:rsid w:val="00916E8F"/>
    <w:rsid w:val="00920AC0"/>
    <w:rsid w:val="00920D69"/>
    <w:rsid w:val="00920E15"/>
    <w:rsid w:val="009229F2"/>
    <w:rsid w:val="009231DC"/>
    <w:rsid w:val="009240AC"/>
    <w:rsid w:val="009246C3"/>
    <w:rsid w:val="00925961"/>
    <w:rsid w:val="00925FAE"/>
    <w:rsid w:val="00926470"/>
    <w:rsid w:val="00926A74"/>
    <w:rsid w:val="00926C41"/>
    <w:rsid w:val="009270C1"/>
    <w:rsid w:val="009274F9"/>
    <w:rsid w:val="00930080"/>
    <w:rsid w:val="00930C62"/>
    <w:rsid w:val="00931184"/>
    <w:rsid w:val="009320F9"/>
    <w:rsid w:val="0093245E"/>
    <w:rsid w:val="00932F42"/>
    <w:rsid w:val="009331E2"/>
    <w:rsid w:val="00933516"/>
    <w:rsid w:val="0093391A"/>
    <w:rsid w:val="00933DF7"/>
    <w:rsid w:val="00935017"/>
    <w:rsid w:val="00935378"/>
    <w:rsid w:val="009370DF"/>
    <w:rsid w:val="00937664"/>
    <w:rsid w:val="009379B5"/>
    <w:rsid w:val="00937AC8"/>
    <w:rsid w:val="00941173"/>
    <w:rsid w:val="009411F0"/>
    <w:rsid w:val="00941265"/>
    <w:rsid w:val="009435F0"/>
    <w:rsid w:val="00943769"/>
    <w:rsid w:val="00943804"/>
    <w:rsid w:val="00944BC1"/>
    <w:rsid w:val="00944EF9"/>
    <w:rsid w:val="00945B11"/>
    <w:rsid w:val="009461E5"/>
    <w:rsid w:val="0094737A"/>
    <w:rsid w:val="00947721"/>
    <w:rsid w:val="0094775E"/>
    <w:rsid w:val="00950DB0"/>
    <w:rsid w:val="0095151E"/>
    <w:rsid w:val="0095158A"/>
    <w:rsid w:val="0095179C"/>
    <w:rsid w:val="00951AF8"/>
    <w:rsid w:val="00951F63"/>
    <w:rsid w:val="00952AE1"/>
    <w:rsid w:val="009532A0"/>
    <w:rsid w:val="009533B4"/>
    <w:rsid w:val="00953993"/>
    <w:rsid w:val="00953E8B"/>
    <w:rsid w:val="009543B4"/>
    <w:rsid w:val="0095474F"/>
    <w:rsid w:val="00954BF8"/>
    <w:rsid w:val="00955229"/>
    <w:rsid w:val="00955396"/>
    <w:rsid w:val="009555FA"/>
    <w:rsid w:val="00955964"/>
    <w:rsid w:val="00955B05"/>
    <w:rsid w:val="00955BCD"/>
    <w:rsid w:val="00955E3A"/>
    <w:rsid w:val="009562D3"/>
    <w:rsid w:val="00956B4D"/>
    <w:rsid w:val="00956D54"/>
    <w:rsid w:val="0095710E"/>
    <w:rsid w:val="009571EB"/>
    <w:rsid w:val="0095771A"/>
    <w:rsid w:val="00957876"/>
    <w:rsid w:val="00957897"/>
    <w:rsid w:val="009608E3"/>
    <w:rsid w:val="00960D42"/>
    <w:rsid w:val="00960EAB"/>
    <w:rsid w:val="00962E91"/>
    <w:rsid w:val="00964034"/>
    <w:rsid w:val="009642AE"/>
    <w:rsid w:val="00964491"/>
    <w:rsid w:val="00964563"/>
    <w:rsid w:val="009646AF"/>
    <w:rsid w:val="00965B13"/>
    <w:rsid w:val="00966387"/>
    <w:rsid w:val="00966D0B"/>
    <w:rsid w:val="009678E6"/>
    <w:rsid w:val="00970E3E"/>
    <w:rsid w:val="00970E7F"/>
    <w:rsid w:val="0097103B"/>
    <w:rsid w:val="0097190F"/>
    <w:rsid w:val="00971AD8"/>
    <w:rsid w:val="00971BE3"/>
    <w:rsid w:val="009721E5"/>
    <w:rsid w:val="00972215"/>
    <w:rsid w:val="00972389"/>
    <w:rsid w:val="009725EF"/>
    <w:rsid w:val="00972C5A"/>
    <w:rsid w:val="00975C92"/>
    <w:rsid w:val="00975D2C"/>
    <w:rsid w:val="00976294"/>
    <w:rsid w:val="009803B2"/>
    <w:rsid w:val="009805B2"/>
    <w:rsid w:val="00980D74"/>
    <w:rsid w:val="00982037"/>
    <w:rsid w:val="00982219"/>
    <w:rsid w:val="00982BD7"/>
    <w:rsid w:val="009836BB"/>
    <w:rsid w:val="00983702"/>
    <w:rsid w:val="009845C2"/>
    <w:rsid w:val="00985CA6"/>
    <w:rsid w:val="00986289"/>
    <w:rsid w:val="009866E0"/>
    <w:rsid w:val="00986ED2"/>
    <w:rsid w:val="009874CD"/>
    <w:rsid w:val="0099028D"/>
    <w:rsid w:val="009907E0"/>
    <w:rsid w:val="00990955"/>
    <w:rsid w:val="009914CC"/>
    <w:rsid w:val="00992227"/>
    <w:rsid w:val="009927CB"/>
    <w:rsid w:val="00993059"/>
    <w:rsid w:val="009931E0"/>
    <w:rsid w:val="00993994"/>
    <w:rsid w:val="00993A92"/>
    <w:rsid w:val="00994FD5"/>
    <w:rsid w:val="009950A2"/>
    <w:rsid w:val="009953A2"/>
    <w:rsid w:val="0099583A"/>
    <w:rsid w:val="0099687F"/>
    <w:rsid w:val="00996A0D"/>
    <w:rsid w:val="009971AD"/>
    <w:rsid w:val="0099729D"/>
    <w:rsid w:val="0099748E"/>
    <w:rsid w:val="009A03AD"/>
    <w:rsid w:val="009A0936"/>
    <w:rsid w:val="009A0A89"/>
    <w:rsid w:val="009A2AD8"/>
    <w:rsid w:val="009A2C6C"/>
    <w:rsid w:val="009A3007"/>
    <w:rsid w:val="009A3E9E"/>
    <w:rsid w:val="009A461C"/>
    <w:rsid w:val="009A47E9"/>
    <w:rsid w:val="009A49C3"/>
    <w:rsid w:val="009A5411"/>
    <w:rsid w:val="009A5FAE"/>
    <w:rsid w:val="009A6292"/>
    <w:rsid w:val="009A64A4"/>
    <w:rsid w:val="009A6C84"/>
    <w:rsid w:val="009A7249"/>
    <w:rsid w:val="009A7911"/>
    <w:rsid w:val="009A793A"/>
    <w:rsid w:val="009B00AB"/>
    <w:rsid w:val="009B1001"/>
    <w:rsid w:val="009B170E"/>
    <w:rsid w:val="009B1E63"/>
    <w:rsid w:val="009B2100"/>
    <w:rsid w:val="009B21E8"/>
    <w:rsid w:val="009B2809"/>
    <w:rsid w:val="009B3330"/>
    <w:rsid w:val="009B4640"/>
    <w:rsid w:val="009B4951"/>
    <w:rsid w:val="009B513E"/>
    <w:rsid w:val="009B54C6"/>
    <w:rsid w:val="009B585E"/>
    <w:rsid w:val="009B5DE9"/>
    <w:rsid w:val="009B602A"/>
    <w:rsid w:val="009B651A"/>
    <w:rsid w:val="009B680B"/>
    <w:rsid w:val="009B69EC"/>
    <w:rsid w:val="009B6EC0"/>
    <w:rsid w:val="009B70BD"/>
    <w:rsid w:val="009C17EE"/>
    <w:rsid w:val="009C1D1A"/>
    <w:rsid w:val="009C1D9A"/>
    <w:rsid w:val="009C32F3"/>
    <w:rsid w:val="009C43A0"/>
    <w:rsid w:val="009C459E"/>
    <w:rsid w:val="009C48E7"/>
    <w:rsid w:val="009C5B6E"/>
    <w:rsid w:val="009C605F"/>
    <w:rsid w:val="009C653B"/>
    <w:rsid w:val="009C6AEE"/>
    <w:rsid w:val="009C6DD0"/>
    <w:rsid w:val="009C7924"/>
    <w:rsid w:val="009C7DA6"/>
    <w:rsid w:val="009D0216"/>
    <w:rsid w:val="009D075B"/>
    <w:rsid w:val="009D1668"/>
    <w:rsid w:val="009D1E28"/>
    <w:rsid w:val="009D1E6C"/>
    <w:rsid w:val="009D215B"/>
    <w:rsid w:val="009D23C4"/>
    <w:rsid w:val="009D3415"/>
    <w:rsid w:val="009D4A72"/>
    <w:rsid w:val="009D51EE"/>
    <w:rsid w:val="009D582B"/>
    <w:rsid w:val="009D5A71"/>
    <w:rsid w:val="009D6399"/>
    <w:rsid w:val="009D74E2"/>
    <w:rsid w:val="009E07E9"/>
    <w:rsid w:val="009E0F6B"/>
    <w:rsid w:val="009E12AE"/>
    <w:rsid w:val="009E1CD5"/>
    <w:rsid w:val="009E1EE4"/>
    <w:rsid w:val="009E2253"/>
    <w:rsid w:val="009E27B3"/>
    <w:rsid w:val="009E2E23"/>
    <w:rsid w:val="009E38BA"/>
    <w:rsid w:val="009E4409"/>
    <w:rsid w:val="009E4DAE"/>
    <w:rsid w:val="009E516C"/>
    <w:rsid w:val="009E55B5"/>
    <w:rsid w:val="009E6CA5"/>
    <w:rsid w:val="009E6E3D"/>
    <w:rsid w:val="009F0586"/>
    <w:rsid w:val="009F107E"/>
    <w:rsid w:val="009F12E5"/>
    <w:rsid w:val="009F1439"/>
    <w:rsid w:val="009F268C"/>
    <w:rsid w:val="009F3067"/>
    <w:rsid w:val="009F356B"/>
    <w:rsid w:val="009F37E1"/>
    <w:rsid w:val="009F4485"/>
    <w:rsid w:val="009F448C"/>
    <w:rsid w:val="009F4D2D"/>
    <w:rsid w:val="009F52F1"/>
    <w:rsid w:val="009F595C"/>
    <w:rsid w:val="009F60C2"/>
    <w:rsid w:val="009F6A13"/>
    <w:rsid w:val="009F6CBA"/>
    <w:rsid w:val="009F7296"/>
    <w:rsid w:val="009F751C"/>
    <w:rsid w:val="009F7A86"/>
    <w:rsid w:val="00A000DE"/>
    <w:rsid w:val="00A0020C"/>
    <w:rsid w:val="00A00B93"/>
    <w:rsid w:val="00A0150C"/>
    <w:rsid w:val="00A025BE"/>
    <w:rsid w:val="00A02BB6"/>
    <w:rsid w:val="00A036FF"/>
    <w:rsid w:val="00A037BB"/>
    <w:rsid w:val="00A03931"/>
    <w:rsid w:val="00A04B22"/>
    <w:rsid w:val="00A04E08"/>
    <w:rsid w:val="00A05D4C"/>
    <w:rsid w:val="00A05FB0"/>
    <w:rsid w:val="00A071FE"/>
    <w:rsid w:val="00A0795E"/>
    <w:rsid w:val="00A10273"/>
    <w:rsid w:val="00A104E3"/>
    <w:rsid w:val="00A1183F"/>
    <w:rsid w:val="00A11925"/>
    <w:rsid w:val="00A11E62"/>
    <w:rsid w:val="00A12A64"/>
    <w:rsid w:val="00A12E5C"/>
    <w:rsid w:val="00A13047"/>
    <w:rsid w:val="00A1374F"/>
    <w:rsid w:val="00A13916"/>
    <w:rsid w:val="00A1478E"/>
    <w:rsid w:val="00A1587A"/>
    <w:rsid w:val="00A15D84"/>
    <w:rsid w:val="00A16260"/>
    <w:rsid w:val="00A16632"/>
    <w:rsid w:val="00A166CF"/>
    <w:rsid w:val="00A17591"/>
    <w:rsid w:val="00A2006A"/>
    <w:rsid w:val="00A204C9"/>
    <w:rsid w:val="00A207F8"/>
    <w:rsid w:val="00A209C5"/>
    <w:rsid w:val="00A20B8F"/>
    <w:rsid w:val="00A2100A"/>
    <w:rsid w:val="00A21A1A"/>
    <w:rsid w:val="00A22C1E"/>
    <w:rsid w:val="00A22EE4"/>
    <w:rsid w:val="00A23D76"/>
    <w:rsid w:val="00A2433D"/>
    <w:rsid w:val="00A2494C"/>
    <w:rsid w:val="00A24BE5"/>
    <w:rsid w:val="00A26F90"/>
    <w:rsid w:val="00A30126"/>
    <w:rsid w:val="00A3071E"/>
    <w:rsid w:val="00A31B34"/>
    <w:rsid w:val="00A32819"/>
    <w:rsid w:val="00A32F49"/>
    <w:rsid w:val="00A34B75"/>
    <w:rsid w:val="00A34F6D"/>
    <w:rsid w:val="00A35223"/>
    <w:rsid w:val="00A35708"/>
    <w:rsid w:val="00A36C24"/>
    <w:rsid w:val="00A36D0B"/>
    <w:rsid w:val="00A36E54"/>
    <w:rsid w:val="00A37143"/>
    <w:rsid w:val="00A37BE2"/>
    <w:rsid w:val="00A37F04"/>
    <w:rsid w:val="00A40413"/>
    <w:rsid w:val="00A40422"/>
    <w:rsid w:val="00A408E0"/>
    <w:rsid w:val="00A40EA8"/>
    <w:rsid w:val="00A4221E"/>
    <w:rsid w:val="00A42CF9"/>
    <w:rsid w:val="00A43C95"/>
    <w:rsid w:val="00A43E2F"/>
    <w:rsid w:val="00A44EEF"/>
    <w:rsid w:val="00A46901"/>
    <w:rsid w:val="00A46936"/>
    <w:rsid w:val="00A47900"/>
    <w:rsid w:val="00A47C26"/>
    <w:rsid w:val="00A47DDD"/>
    <w:rsid w:val="00A50307"/>
    <w:rsid w:val="00A50E49"/>
    <w:rsid w:val="00A510D0"/>
    <w:rsid w:val="00A51459"/>
    <w:rsid w:val="00A51955"/>
    <w:rsid w:val="00A52080"/>
    <w:rsid w:val="00A523EA"/>
    <w:rsid w:val="00A5296E"/>
    <w:rsid w:val="00A5351D"/>
    <w:rsid w:val="00A53563"/>
    <w:rsid w:val="00A53B18"/>
    <w:rsid w:val="00A53F89"/>
    <w:rsid w:val="00A546C7"/>
    <w:rsid w:val="00A54C92"/>
    <w:rsid w:val="00A55BDE"/>
    <w:rsid w:val="00A55D74"/>
    <w:rsid w:val="00A560BA"/>
    <w:rsid w:val="00A56967"/>
    <w:rsid w:val="00A570F7"/>
    <w:rsid w:val="00A57120"/>
    <w:rsid w:val="00A57DC8"/>
    <w:rsid w:val="00A605E2"/>
    <w:rsid w:val="00A60FB0"/>
    <w:rsid w:val="00A61194"/>
    <w:rsid w:val="00A6170A"/>
    <w:rsid w:val="00A6345B"/>
    <w:rsid w:val="00A647F1"/>
    <w:rsid w:val="00A64963"/>
    <w:rsid w:val="00A65592"/>
    <w:rsid w:val="00A65A5B"/>
    <w:rsid w:val="00A660AE"/>
    <w:rsid w:val="00A666C7"/>
    <w:rsid w:val="00A66D13"/>
    <w:rsid w:val="00A70204"/>
    <w:rsid w:val="00A70387"/>
    <w:rsid w:val="00A705A8"/>
    <w:rsid w:val="00A70FDF"/>
    <w:rsid w:val="00A71840"/>
    <w:rsid w:val="00A718B0"/>
    <w:rsid w:val="00A71D12"/>
    <w:rsid w:val="00A72440"/>
    <w:rsid w:val="00A72A4A"/>
    <w:rsid w:val="00A7309F"/>
    <w:rsid w:val="00A730A0"/>
    <w:rsid w:val="00A73523"/>
    <w:rsid w:val="00A7377E"/>
    <w:rsid w:val="00A73BA6"/>
    <w:rsid w:val="00A74E8B"/>
    <w:rsid w:val="00A75266"/>
    <w:rsid w:val="00A75359"/>
    <w:rsid w:val="00A75865"/>
    <w:rsid w:val="00A75C1E"/>
    <w:rsid w:val="00A76296"/>
    <w:rsid w:val="00A76D45"/>
    <w:rsid w:val="00A771AE"/>
    <w:rsid w:val="00A77714"/>
    <w:rsid w:val="00A77CA8"/>
    <w:rsid w:val="00A77D7A"/>
    <w:rsid w:val="00A77FE6"/>
    <w:rsid w:val="00A806C0"/>
    <w:rsid w:val="00A8075C"/>
    <w:rsid w:val="00A80CEA"/>
    <w:rsid w:val="00A8100A"/>
    <w:rsid w:val="00A81964"/>
    <w:rsid w:val="00A81C59"/>
    <w:rsid w:val="00A81D9F"/>
    <w:rsid w:val="00A81E85"/>
    <w:rsid w:val="00A81FC6"/>
    <w:rsid w:val="00A82302"/>
    <w:rsid w:val="00A82541"/>
    <w:rsid w:val="00A82971"/>
    <w:rsid w:val="00A82A29"/>
    <w:rsid w:val="00A83CB9"/>
    <w:rsid w:val="00A84A73"/>
    <w:rsid w:val="00A84AA7"/>
    <w:rsid w:val="00A84B6D"/>
    <w:rsid w:val="00A84ED2"/>
    <w:rsid w:val="00A855E7"/>
    <w:rsid w:val="00A85C7D"/>
    <w:rsid w:val="00A86221"/>
    <w:rsid w:val="00A86253"/>
    <w:rsid w:val="00A8636D"/>
    <w:rsid w:val="00A864C2"/>
    <w:rsid w:val="00A869D6"/>
    <w:rsid w:val="00A86A77"/>
    <w:rsid w:val="00A8759A"/>
    <w:rsid w:val="00A87D4C"/>
    <w:rsid w:val="00A905C9"/>
    <w:rsid w:val="00A90ED0"/>
    <w:rsid w:val="00A91306"/>
    <w:rsid w:val="00A91ACD"/>
    <w:rsid w:val="00A91D98"/>
    <w:rsid w:val="00A91E3A"/>
    <w:rsid w:val="00A9223C"/>
    <w:rsid w:val="00A9326D"/>
    <w:rsid w:val="00A932D4"/>
    <w:rsid w:val="00A93915"/>
    <w:rsid w:val="00A93C0D"/>
    <w:rsid w:val="00A95039"/>
    <w:rsid w:val="00A95130"/>
    <w:rsid w:val="00A95240"/>
    <w:rsid w:val="00A9529C"/>
    <w:rsid w:val="00A95D43"/>
    <w:rsid w:val="00A96038"/>
    <w:rsid w:val="00A9605C"/>
    <w:rsid w:val="00A9630F"/>
    <w:rsid w:val="00A96798"/>
    <w:rsid w:val="00A96C04"/>
    <w:rsid w:val="00A9731C"/>
    <w:rsid w:val="00A97A3F"/>
    <w:rsid w:val="00AA0865"/>
    <w:rsid w:val="00AA12C9"/>
    <w:rsid w:val="00AA1A1E"/>
    <w:rsid w:val="00AA26C5"/>
    <w:rsid w:val="00AA2AFE"/>
    <w:rsid w:val="00AA43C2"/>
    <w:rsid w:val="00AA4C08"/>
    <w:rsid w:val="00AA5139"/>
    <w:rsid w:val="00AA555C"/>
    <w:rsid w:val="00AA5569"/>
    <w:rsid w:val="00AA5876"/>
    <w:rsid w:val="00AA63CE"/>
    <w:rsid w:val="00AA6C49"/>
    <w:rsid w:val="00AA7F94"/>
    <w:rsid w:val="00AB0DF8"/>
    <w:rsid w:val="00AB0E06"/>
    <w:rsid w:val="00AB0FFE"/>
    <w:rsid w:val="00AB12A6"/>
    <w:rsid w:val="00AB1342"/>
    <w:rsid w:val="00AB1352"/>
    <w:rsid w:val="00AB14C4"/>
    <w:rsid w:val="00AB1776"/>
    <w:rsid w:val="00AB18E1"/>
    <w:rsid w:val="00AB2FE1"/>
    <w:rsid w:val="00AB30C4"/>
    <w:rsid w:val="00AB33C9"/>
    <w:rsid w:val="00AB3769"/>
    <w:rsid w:val="00AB4B18"/>
    <w:rsid w:val="00AB4C98"/>
    <w:rsid w:val="00AB5DCF"/>
    <w:rsid w:val="00AB67E3"/>
    <w:rsid w:val="00AB68F4"/>
    <w:rsid w:val="00AB7289"/>
    <w:rsid w:val="00AB759C"/>
    <w:rsid w:val="00AB7603"/>
    <w:rsid w:val="00AB7C10"/>
    <w:rsid w:val="00AB7ED8"/>
    <w:rsid w:val="00AB7EFF"/>
    <w:rsid w:val="00AC098A"/>
    <w:rsid w:val="00AC10A0"/>
    <w:rsid w:val="00AC142F"/>
    <w:rsid w:val="00AC2A89"/>
    <w:rsid w:val="00AC2DFA"/>
    <w:rsid w:val="00AC4B13"/>
    <w:rsid w:val="00AC56BA"/>
    <w:rsid w:val="00AC58EB"/>
    <w:rsid w:val="00AC5921"/>
    <w:rsid w:val="00AC5C97"/>
    <w:rsid w:val="00AC67D2"/>
    <w:rsid w:val="00AC762A"/>
    <w:rsid w:val="00AC7AEA"/>
    <w:rsid w:val="00AD02C9"/>
    <w:rsid w:val="00AD08F8"/>
    <w:rsid w:val="00AD14EB"/>
    <w:rsid w:val="00AD1512"/>
    <w:rsid w:val="00AD36CA"/>
    <w:rsid w:val="00AD3C32"/>
    <w:rsid w:val="00AD3D9E"/>
    <w:rsid w:val="00AD52D9"/>
    <w:rsid w:val="00AD55A3"/>
    <w:rsid w:val="00AD584D"/>
    <w:rsid w:val="00AD6773"/>
    <w:rsid w:val="00AD787E"/>
    <w:rsid w:val="00AE04E7"/>
    <w:rsid w:val="00AE0952"/>
    <w:rsid w:val="00AE0BF9"/>
    <w:rsid w:val="00AE0CC1"/>
    <w:rsid w:val="00AE1618"/>
    <w:rsid w:val="00AE16A4"/>
    <w:rsid w:val="00AE1E43"/>
    <w:rsid w:val="00AE1E7F"/>
    <w:rsid w:val="00AE2113"/>
    <w:rsid w:val="00AE2F37"/>
    <w:rsid w:val="00AE35E2"/>
    <w:rsid w:val="00AE3692"/>
    <w:rsid w:val="00AE3821"/>
    <w:rsid w:val="00AE3D88"/>
    <w:rsid w:val="00AE44AD"/>
    <w:rsid w:val="00AE45D1"/>
    <w:rsid w:val="00AE4E07"/>
    <w:rsid w:val="00AE568A"/>
    <w:rsid w:val="00AE57E0"/>
    <w:rsid w:val="00AE6019"/>
    <w:rsid w:val="00AE69C3"/>
    <w:rsid w:val="00AE72C8"/>
    <w:rsid w:val="00AE7784"/>
    <w:rsid w:val="00AE77F8"/>
    <w:rsid w:val="00AE79AB"/>
    <w:rsid w:val="00AE7C42"/>
    <w:rsid w:val="00AF07E9"/>
    <w:rsid w:val="00AF181A"/>
    <w:rsid w:val="00AF1E85"/>
    <w:rsid w:val="00AF227A"/>
    <w:rsid w:val="00AF242C"/>
    <w:rsid w:val="00AF251E"/>
    <w:rsid w:val="00AF2C11"/>
    <w:rsid w:val="00AF2E73"/>
    <w:rsid w:val="00AF301C"/>
    <w:rsid w:val="00AF3122"/>
    <w:rsid w:val="00AF3CBB"/>
    <w:rsid w:val="00AF4FC4"/>
    <w:rsid w:val="00AF6454"/>
    <w:rsid w:val="00AF6574"/>
    <w:rsid w:val="00AF6A92"/>
    <w:rsid w:val="00AF7042"/>
    <w:rsid w:val="00AF7B58"/>
    <w:rsid w:val="00AF7F50"/>
    <w:rsid w:val="00B00501"/>
    <w:rsid w:val="00B00A88"/>
    <w:rsid w:val="00B00DF5"/>
    <w:rsid w:val="00B01504"/>
    <w:rsid w:val="00B01D55"/>
    <w:rsid w:val="00B02397"/>
    <w:rsid w:val="00B02A6D"/>
    <w:rsid w:val="00B033E5"/>
    <w:rsid w:val="00B0363E"/>
    <w:rsid w:val="00B03D41"/>
    <w:rsid w:val="00B04761"/>
    <w:rsid w:val="00B04776"/>
    <w:rsid w:val="00B04FE1"/>
    <w:rsid w:val="00B05237"/>
    <w:rsid w:val="00B05D53"/>
    <w:rsid w:val="00B069C9"/>
    <w:rsid w:val="00B06A5D"/>
    <w:rsid w:val="00B06B4A"/>
    <w:rsid w:val="00B06EEC"/>
    <w:rsid w:val="00B0782A"/>
    <w:rsid w:val="00B10317"/>
    <w:rsid w:val="00B108D1"/>
    <w:rsid w:val="00B10A39"/>
    <w:rsid w:val="00B11326"/>
    <w:rsid w:val="00B113C9"/>
    <w:rsid w:val="00B11B28"/>
    <w:rsid w:val="00B126C4"/>
    <w:rsid w:val="00B12AA1"/>
    <w:rsid w:val="00B13A24"/>
    <w:rsid w:val="00B14377"/>
    <w:rsid w:val="00B14417"/>
    <w:rsid w:val="00B14A0E"/>
    <w:rsid w:val="00B14CAA"/>
    <w:rsid w:val="00B14F3E"/>
    <w:rsid w:val="00B15322"/>
    <w:rsid w:val="00B15DD3"/>
    <w:rsid w:val="00B15E01"/>
    <w:rsid w:val="00B16303"/>
    <w:rsid w:val="00B16574"/>
    <w:rsid w:val="00B16C3D"/>
    <w:rsid w:val="00B17176"/>
    <w:rsid w:val="00B17E2A"/>
    <w:rsid w:val="00B230DD"/>
    <w:rsid w:val="00B23608"/>
    <w:rsid w:val="00B23830"/>
    <w:rsid w:val="00B238B1"/>
    <w:rsid w:val="00B23EA2"/>
    <w:rsid w:val="00B242A7"/>
    <w:rsid w:val="00B24522"/>
    <w:rsid w:val="00B262CE"/>
    <w:rsid w:val="00B266C5"/>
    <w:rsid w:val="00B26946"/>
    <w:rsid w:val="00B26A32"/>
    <w:rsid w:val="00B27597"/>
    <w:rsid w:val="00B276DB"/>
    <w:rsid w:val="00B27A39"/>
    <w:rsid w:val="00B27B57"/>
    <w:rsid w:val="00B27B67"/>
    <w:rsid w:val="00B322E3"/>
    <w:rsid w:val="00B32C31"/>
    <w:rsid w:val="00B33163"/>
    <w:rsid w:val="00B333DB"/>
    <w:rsid w:val="00B33612"/>
    <w:rsid w:val="00B33647"/>
    <w:rsid w:val="00B340EC"/>
    <w:rsid w:val="00B34132"/>
    <w:rsid w:val="00B345B3"/>
    <w:rsid w:val="00B34C97"/>
    <w:rsid w:val="00B35024"/>
    <w:rsid w:val="00B3506D"/>
    <w:rsid w:val="00B35465"/>
    <w:rsid w:val="00B354FA"/>
    <w:rsid w:val="00B3587C"/>
    <w:rsid w:val="00B3734E"/>
    <w:rsid w:val="00B37B9D"/>
    <w:rsid w:val="00B400E5"/>
    <w:rsid w:val="00B4038E"/>
    <w:rsid w:val="00B40B1A"/>
    <w:rsid w:val="00B41198"/>
    <w:rsid w:val="00B41C23"/>
    <w:rsid w:val="00B4221C"/>
    <w:rsid w:val="00B4255E"/>
    <w:rsid w:val="00B425CF"/>
    <w:rsid w:val="00B427AF"/>
    <w:rsid w:val="00B43269"/>
    <w:rsid w:val="00B433CE"/>
    <w:rsid w:val="00B435E1"/>
    <w:rsid w:val="00B43FB6"/>
    <w:rsid w:val="00B441D2"/>
    <w:rsid w:val="00B44A7F"/>
    <w:rsid w:val="00B46618"/>
    <w:rsid w:val="00B4695D"/>
    <w:rsid w:val="00B4779A"/>
    <w:rsid w:val="00B4799A"/>
    <w:rsid w:val="00B47AA4"/>
    <w:rsid w:val="00B501C9"/>
    <w:rsid w:val="00B50853"/>
    <w:rsid w:val="00B50C47"/>
    <w:rsid w:val="00B50EAD"/>
    <w:rsid w:val="00B51458"/>
    <w:rsid w:val="00B5191C"/>
    <w:rsid w:val="00B521D0"/>
    <w:rsid w:val="00B525AA"/>
    <w:rsid w:val="00B525D9"/>
    <w:rsid w:val="00B52782"/>
    <w:rsid w:val="00B5307B"/>
    <w:rsid w:val="00B53AAE"/>
    <w:rsid w:val="00B54545"/>
    <w:rsid w:val="00B54A54"/>
    <w:rsid w:val="00B54BAE"/>
    <w:rsid w:val="00B54EC8"/>
    <w:rsid w:val="00B552C8"/>
    <w:rsid w:val="00B570D1"/>
    <w:rsid w:val="00B608B4"/>
    <w:rsid w:val="00B6117B"/>
    <w:rsid w:val="00B614C7"/>
    <w:rsid w:val="00B615A3"/>
    <w:rsid w:val="00B61D9D"/>
    <w:rsid w:val="00B61DE6"/>
    <w:rsid w:val="00B6265A"/>
    <w:rsid w:val="00B62747"/>
    <w:rsid w:val="00B62AE6"/>
    <w:rsid w:val="00B63125"/>
    <w:rsid w:val="00B63C5C"/>
    <w:rsid w:val="00B63E13"/>
    <w:rsid w:val="00B64EA6"/>
    <w:rsid w:val="00B651E2"/>
    <w:rsid w:val="00B65486"/>
    <w:rsid w:val="00B6568F"/>
    <w:rsid w:val="00B658C9"/>
    <w:rsid w:val="00B66768"/>
    <w:rsid w:val="00B66D10"/>
    <w:rsid w:val="00B67397"/>
    <w:rsid w:val="00B67411"/>
    <w:rsid w:val="00B67C4D"/>
    <w:rsid w:val="00B704A5"/>
    <w:rsid w:val="00B70A17"/>
    <w:rsid w:val="00B70EEB"/>
    <w:rsid w:val="00B71668"/>
    <w:rsid w:val="00B71A2C"/>
    <w:rsid w:val="00B71AF6"/>
    <w:rsid w:val="00B722D3"/>
    <w:rsid w:val="00B728AA"/>
    <w:rsid w:val="00B73069"/>
    <w:rsid w:val="00B7337F"/>
    <w:rsid w:val="00B73804"/>
    <w:rsid w:val="00B739EC"/>
    <w:rsid w:val="00B73A3A"/>
    <w:rsid w:val="00B74061"/>
    <w:rsid w:val="00B74192"/>
    <w:rsid w:val="00B755C7"/>
    <w:rsid w:val="00B773E2"/>
    <w:rsid w:val="00B77AC0"/>
    <w:rsid w:val="00B808D0"/>
    <w:rsid w:val="00B80982"/>
    <w:rsid w:val="00B80C44"/>
    <w:rsid w:val="00B80FFD"/>
    <w:rsid w:val="00B816F1"/>
    <w:rsid w:val="00B81EA2"/>
    <w:rsid w:val="00B827E3"/>
    <w:rsid w:val="00B835A1"/>
    <w:rsid w:val="00B8365E"/>
    <w:rsid w:val="00B83CCC"/>
    <w:rsid w:val="00B84C8A"/>
    <w:rsid w:val="00B850BB"/>
    <w:rsid w:val="00B85436"/>
    <w:rsid w:val="00B854B7"/>
    <w:rsid w:val="00B85932"/>
    <w:rsid w:val="00B85AD7"/>
    <w:rsid w:val="00B8703C"/>
    <w:rsid w:val="00B8718A"/>
    <w:rsid w:val="00B871A3"/>
    <w:rsid w:val="00B87264"/>
    <w:rsid w:val="00B87325"/>
    <w:rsid w:val="00B87651"/>
    <w:rsid w:val="00B87B4F"/>
    <w:rsid w:val="00B87D1A"/>
    <w:rsid w:val="00B90213"/>
    <w:rsid w:val="00B9022C"/>
    <w:rsid w:val="00B91D62"/>
    <w:rsid w:val="00B92388"/>
    <w:rsid w:val="00B92824"/>
    <w:rsid w:val="00B93284"/>
    <w:rsid w:val="00B94525"/>
    <w:rsid w:val="00B955B3"/>
    <w:rsid w:val="00B957E8"/>
    <w:rsid w:val="00B958B8"/>
    <w:rsid w:val="00B977A0"/>
    <w:rsid w:val="00B97962"/>
    <w:rsid w:val="00BA0DC8"/>
    <w:rsid w:val="00BA0F63"/>
    <w:rsid w:val="00BA134F"/>
    <w:rsid w:val="00BA14AE"/>
    <w:rsid w:val="00BA1C38"/>
    <w:rsid w:val="00BA1CE8"/>
    <w:rsid w:val="00BA1CF1"/>
    <w:rsid w:val="00BA1D45"/>
    <w:rsid w:val="00BA1E4B"/>
    <w:rsid w:val="00BA1F55"/>
    <w:rsid w:val="00BA22C1"/>
    <w:rsid w:val="00BA3032"/>
    <w:rsid w:val="00BA3422"/>
    <w:rsid w:val="00BA3E30"/>
    <w:rsid w:val="00BA3FB0"/>
    <w:rsid w:val="00BA46E6"/>
    <w:rsid w:val="00BA5ACC"/>
    <w:rsid w:val="00BA62F8"/>
    <w:rsid w:val="00BA6570"/>
    <w:rsid w:val="00BA6D57"/>
    <w:rsid w:val="00BA7AE2"/>
    <w:rsid w:val="00BA7BD4"/>
    <w:rsid w:val="00BB01DD"/>
    <w:rsid w:val="00BB18DA"/>
    <w:rsid w:val="00BB19F8"/>
    <w:rsid w:val="00BB30E7"/>
    <w:rsid w:val="00BB3F45"/>
    <w:rsid w:val="00BB3F81"/>
    <w:rsid w:val="00BB4A29"/>
    <w:rsid w:val="00BB4A6F"/>
    <w:rsid w:val="00BB570E"/>
    <w:rsid w:val="00BB6DA8"/>
    <w:rsid w:val="00BB746D"/>
    <w:rsid w:val="00BB7D91"/>
    <w:rsid w:val="00BC08BE"/>
    <w:rsid w:val="00BC17D7"/>
    <w:rsid w:val="00BC1ECA"/>
    <w:rsid w:val="00BC256D"/>
    <w:rsid w:val="00BC2B0B"/>
    <w:rsid w:val="00BC2BA1"/>
    <w:rsid w:val="00BC2CE4"/>
    <w:rsid w:val="00BC2D47"/>
    <w:rsid w:val="00BC4382"/>
    <w:rsid w:val="00BC43BB"/>
    <w:rsid w:val="00BC48AA"/>
    <w:rsid w:val="00BC58EB"/>
    <w:rsid w:val="00BC5DA6"/>
    <w:rsid w:val="00BC5DF8"/>
    <w:rsid w:val="00BC622E"/>
    <w:rsid w:val="00BC62F8"/>
    <w:rsid w:val="00BC6AC8"/>
    <w:rsid w:val="00BC6C3D"/>
    <w:rsid w:val="00BC751E"/>
    <w:rsid w:val="00BC7781"/>
    <w:rsid w:val="00BC7A20"/>
    <w:rsid w:val="00BD09EF"/>
    <w:rsid w:val="00BD11F0"/>
    <w:rsid w:val="00BD1CC5"/>
    <w:rsid w:val="00BD2410"/>
    <w:rsid w:val="00BD2727"/>
    <w:rsid w:val="00BD35F1"/>
    <w:rsid w:val="00BD3B1E"/>
    <w:rsid w:val="00BD422F"/>
    <w:rsid w:val="00BD4640"/>
    <w:rsid w:val="00BD4BEB"/>
    <w:rsid w:val="00BD5152"/>
    <w:rsid w:val="00BD53E0"/>
    <w:rsid w:val="00BD5DFC"/>
    <w:rsid w:val="00BD5EB5"/>
    <w:rsid w:val="00BD61BE"/>
    <w:rsid w:val="00BD69C4"/>
    <w:rsid w:val="00BD73E4"/>
    <w:rsid w:val="00BD7696"/>
    <w:rsid w:val="00BD7A69"/>
    <w:rsid w:val="00BE0736"/>
    <w:rsid w:val="00BE0D53"/>
    <w:rsid w:val="00BE1FE9"/>
    <w:rsid w:val="00BE20D4"/>
    <w:rsid w:val="00BE214C"/>
    <w:rsid w:val="00BE2532"/>
    <w:rsid w:val="00BE27AD"/>
    <w:rsid w:val="00BE2D0A"/>
    <w:rsid w:val="00BE2ED0"/>
    <w:rsid w:val="00BE3199"/>
    <w:rsid w:val="00BE3474"/>
    <w:rsid w:val="00BE34CC"/>
    <w:rsid w:val="00BE3B74"/>
    <w:rsid w:val="00BE3E47"/>
    <w:rsid w:val="00BE3FD3"/>
    <w:rsid w:val="00BE41D4"/>
    <w:rsid w:val="00BE4B3B"/>
    <w:rsid w:val="00BE546F"/>
    <w:rsid w:val="00BE55E1"/>
    <w:rsid w:val="00BE6173"/>
    <w:rsid w:val="00BE62F2"/>
    <w:rsid w:val="00BE632A"/>
    <w:rsid w:val="00BE65F8"/>
    <w:rsid w:val="00BE66B2"/>
    <w:rsid w:val="00BE6C3E"/>
    <w:rsid w:val="00BE7642"/>
    <w:rsid w:val="00BF1212"/>
    <w:rsid w:val="00BF12B7"/>
    <w:rsid w:val="00BF1D05"/>
    <w:rsid w:val="00BF200A"/>
    <w:rsid w:val="00BF26F0"/>
    <w:rsid w:val="00BF270A"/>
    <w:rsid w:val="00BF32D2"/>
    <w:rsid w:val="00BF4863"/>
    <w:rsid w:val="00BF67ED"/>
    <w:rsid w:val="00BF6A9D"/>
    <w:rsid w:val="00BF71EF"/>
    <w:rsid w:val="00BF7785"/>
    <w:rsid w:val="00BF7835"/>
    <w:rsid w:val="00BF7A8D"/>
    <w:rsid w:val="00C00593"/>
    <w:rsid w:val="00C00A7E"/>
    <w:rsid w:val="00C00E26"/>
    <w:rsid w:val="00C0110A"/>
    <w:rsid w:val="00C02074"/>
    <w:rsid w:val="00C0238D"/>
    <w:rsid w:val="00C028C0"/>
    <w:rsid w:val="00C032E6"/>
    <w:rsid w:val="00C0355A"/>
    <w:rsid w:val="00C03A63"/>
    <w:rsid w:val="00C03E3C"/>
    <w:rsid w:val="00C050E4"/>
    <w:rsid w:val="00C05172"/>
    <w:rsid w:val="00C06446"/>
    <w:rsid w:val="00C07BAA"/>
    <w:rsid w:val="00C11F28"/>
    <w:rsid w:val="00C1264D"/>
    <w:rsid w:val="00C1307C"/>
    <w:rsid w:val="00C130B3"/>
    <w:rsid w:val="00C13C3F"/>
    <w:rsid w:val="00C140A2"/>
    <w:rsid w:val="00C140B4"/>
    <w:rsid w:val="00C14575"/>
    <w:rsid w:val="00C14AE9"/>
    <w:rsid w:val="00C154CA"/>
    <w:rsid w:val="00C1601F"/>
    <w:rsid w:val="00C167FC"/>
    <w:rsid w:val="00C169BF"/>
    <w:rsid w:val="00C16C7F"/>
    <w:rsid w:val="00C16E83"/>
    <w:rsid w:val="00C1740C"/>
    <w:rsid w:val="00C17BB3"/>
    <w:rsid w:val="00C203C3"/>
    <w:rsid w:val="00C20825"/>
    <w:rsid w:val="00C21864"/>
    <w:rsid w:val="00C21C5C"/>
    <w:rsid w:val="00C21DC7"/>
    <w:rsid w:val="00C227D6"/>
    <w:rsid w:val="00C23182"/>
    <w:rsid w:val="00C23A2F"/>
    <w:rsid w:val="00C240A8"/>
    <w:rsid w:val="00C245CF"/>
    <w:rsid w:val="00C254B8"/>
    <w:rsid w:val="00C264A5"/>
    <w:rsid w:val="00C26739"/>
    <w:rsid w:val="00C27A7E"/>
    <w:rsid w:val="00C3028C"/>
    <w:rsid w:val="00C30D93"/>
    <w:rsid w:val="00C31BBA"/>
    <w:rsid w:val="00C31D1C"/>
    <w:rsid w:val="00C32D80"/>
    <w:rsid w:val="00C32F26"/>
    <w:rsid w:val="00C3337D"/>
    <w:rsid w:val="00C338C8"/>
    <w:rsid w:val="00C33A19"/>
    <w:rsid w:val="00C35A8E"/>
    <w:rsid w:val="00C364C4"/>
    <w:rsid w:val="00C36D5B"/>
    <w:rsid w:val="00C373CC"/>
    <w:rsid w:val="00C37813"/>
    <w:rsid w:val="00C37AFE"/>
    <w:rsid w:val="00C40085"/>
    <w:rsid w:val="00C4033B"/>
    <w:rsid w:val="00C40517"/>
    <w:rsid w:val="00C40730"/>
    <w:rsid w:val="00C407C8"/>
    <w:rsid w:val="00C410AD"/>
    <w:rsid w:val="00C43474"/>
    <w:rsid w:val="00C4404D"/>
    <w:rsid w:val="00C44974"/>
    <w:rsid w:val="00C46941"/>
    <w:rsid w:val="00C46AE9"/>
    <w:rsid w:val="00C47309"/>
    <w:rsid w:val="00C47337"/>
    <w:rsid w:val="00C47929"/>
    <w:rsid w:val="00C47DF0"/>
    <w:rsid w:val="00C50D57"/>
    <w:rsid w:val="00C51171"/>
    <w:rsid w:val="00C51A9C"/>
    <w:rsid w:val="00C521C8"/>
    <w:rsid w:val="00C53246"/>
    <w:rsid w:val="00C53924"/>
    <w:rsid w:val="00C539BF"/>
    <w:rsid w:val="00C53D56"/>
    <w:rsid w:val="00C54C81"/>
    <w:rsid w:val="00C54E89"/>
    <w:rsid w:val="00C55DFB"/>
    <w:rsid w:val="00C55FB4"/>
    <w:rsid w:val="00C57601"/>
    <w:rsid w:val="00C57651"/>
    <w:rsid w:val="00C5780F"/>
    <w:rsid w:val="00C61C96"/>
    <w:rsid w:val="00C61D76"/>
    <w:rsid w:val="00C625B0"/>
    <w:rsid w:val="00C625F7"/>
    <w:rsid w:val="00C62C56"/>
    <w:rsid w:val="00C62CB9"/>
    <w:rsid w:val="00C62CF9"/>
    <w:rsid w:val="00C63983"/>
    <w:rsid w:val="00C64CA7"/>
    <w:rsid w:val="00C65630"/>
    <w:rsid w:val="00C65BA7"/>
    <w:rsid w:val="00C6656F"/>
    <w:rsid w:val="00C66F48"/>
    <w:rsid w:val="00C67519"/>
    <w:rsid w:val="00C6776A"/>
    <w:rsid w:val="00C6792D"/>
    <w:rsid w:val="00C67FAA"/>
    <w:rsid w:val="00C70017"/>
    <w:rsid w:val="00C70356"/>
    <w:rsid w:val="00C705C1"/>
    <w:rsid w:val="00C71523"/>
    <w:rsid w:val="00C71739"/>
    <w:rsid w:val="00C71847"/>
    <w:rsid w:val="00C71A60"/>
    <w:rsid w:val="00C71CA4"/>
    <w:rsid w:val="00C7258E"/>
    <w:rsid w:val="00C72F53"/>
    <w:rsid w:val="00C73E83"/>
    <w:rsid w:val="00C74515"/>
    <w:rsid w:val="00C74A3B"/>
    <w:rsid w:val="00C75E16"/>
    <w:rsid w:val="00C7689A"/>
    <w:rsid w:val="00C76D83"/>
    <w:rsid w:val="00C77065"/>
    <w:rsid w:val="00C803C6"/>
    <w:rsid w:val="00C803E4"/>
    <w:rsid w:val="00C80C20"/>
    <w:rsid w:val="00C81253"/>
    <w:rsid w:val="00C813E6"/>
    <w:rsid w:val="00C81420"/>
    <w:rsid w:val="00C81472"/>
    <w:rsid w:val="00C81CB6"/>
    <w:rsid w:val="00C8212C"/>
    <w:rsid w:val="00C82418"/>
    <w:rsid w:val="00C82EC9"/>
    <w:rsid w:val="00C83201"/>
    <w:rsid w:val="00C83A71"/>
    <w:rsid w:val="00C84D9E"/>
    <w:rsid w:val="00C8551E"/>
    <w:rsid w:val="00C859AF"/>
    <w:rsid w:val="00C85D24"/>
    <w:rsid w:val="00C85F0B"/>
    <w:rsid w:val="00C87269"/>
    <w:rsid w:val="00C87CB3"/>
    <w:rsid w:val="00C9086B"/>
    <w:rsid w:val="00C9103D"/>
    <w:rsid w:val="00C9179C"/>
    <w:rsid w:val="00C91842"/>
    <w:rsid w:val="00C91854"/>
    <w:rsid w:val="00C92255"/>
    <w:rsid w:val="00C92270"/>
    <w:rsid w:val="00C922E2"/>
    <w:rsid w:val="00C925FA"/>
    <w:rsid w:val="00C927BC"/>
    <w:rsid w:val="00C932E5"/>
    <w:rsid w:val="00C93884"/>
    <w:rsid w:val="00C93D84"/>
    <w:rsid w:val="00C9484D"/>
    <w:rsid w:val="00C94EC2"/>
    <w:rsid w:val="00C95087"/>
    <w:rsid w:val="00C96828"/>
    <w:rsid w:val="00C97977"/>
    <w:rsid w:val="00CA0D54"/>
    <w:rsid w:val="00CA0FF7"/>
    <w:rsid w:val="00CA111F"/>
    <w:rsid w:val="00CA1274"/>
    <w:rsid w:val="00CA26CF"/>
    <w:rsid w:val="00CA29F9"/>
    <w:rsid w:val="00CA30D3"/>
    <w:rsid w:val="00CA3ACF"/>
    <w:rsid w:val="00CA4144"/>
    <w:rsid w:val="00CA435C"/>
    <w:rsid w:val="00CA4565"/>
    <w:rsid w:val="00CA47E2"/>
    <w:rsid w:val="00CA49B0"/>
    <w:rsid w:val="00CA5447"/>
    <w:rsid w:val="00CA547D"/>
    <w:rsid w:val="00CA55E0"/>
    <w:rsid w:val="00CA566D"/>
    <w:rsid w:val="00CA57CA"/>
    <w:rsid w:val="00CA5C11"/>
    <w:rsid w:val="00CA6159"/>
    <w:rsid w:val="00CA61C6"/>
    <w:rsid w:val="00CA7708"/>
    <w:rsid w:val="00CA7B23"/>
    <w:rsid w:val="00CA7D33"/>
    <w:rsid w:val="00CA7D47"/>
    <w:rsid w:val="00CA7FFA"/>
    <w:rsid w:val="00CB0068"/>
    <w:rsid w:val="00CB009B"/>
    <w:rsid w:val="00CB04F3"/>
    <w:rsid w:val="00CB0812"/>
    <w:rsid w:val="00CB0928"/>
    <w:rsid w:val="00CB19C6"/>
    <w:rsid w:val="00CB270F"/>
    <w:rsid w:val="00CB305C"/>
    <w:rsid w:val="00CB3075"/>
    <w:rsid w:val="00CB3DE3"/>
    <w:rsid w:val="00CB404F"/>
    <w:rsid w:val="00CB448F"/>
    <w:rsid w:val="00CB4AD0"/>
    <w:rsid w:val="00CB4CAA"/>
    <w:rsid w:val="00CB5771"/>
    <w:rsid w:val="00CB587F"/>
    <w:rsid w:val="00CB59F7"/>
    <w:rsid w:val="00CB5BAA"/>
    <w:rsid w:val="00CB6F62"/>
    <w:rsid w:val="00CB7178"/>
    <w:rsid w:val="00CB76CB"/>
    <w:rsid w:val="00CC084F"/>
    <w:rsid w:val="00CC0942"/>
    <w:rsid w:val="00CC1707"/>
    <w:rsid w:val="00CC1BDD"/>
    <w:rsid w:val="00CC20D8"/>
    <w:rsid w:val="00CC2F34"/>
    <w:rsid w:val="00CC3685"/>
    <w:rsid w:val="00CC3A34"/>
    <w:rsid w:val="00CC43CB"/>
    <w:rsid w:val="00CC4828"/>
    <w:rsid w:val="00CC515C"/>
    <w:rsid w:val="00CC5750"/>
    <w:rsid w:val="00CC57C0"/>
    <w:rsid w:val="00CC5981"/>
    <w:rsid w:val="00CC7041"/>
    <w:rsid w:val="00CC72B1"/>
    <w:rsid w:val="00CC758B"/>
    <w:rsid w:val="00CC7775"/>
    <w:rsid w:val="00CC7FE4"/>
    <w:rsid w:val="00CD0954"/>
    <w:rsid w:val="00CD14F2"/>
    <w:rsid w:val="00CD2917"/>
    <w:rsid w:val="00CD294A"/>
    <w:rsid w:val="00CD2DB0"/>
    <w:rsid w:val="00CD3428"/>
    <w:rsid w:val="00CD3DEF"/>
    <w:rsid w:val="00CD4203"/>
    <w:rsid w:val="00CD512A"/>
    <w:rsid w:val="00CD54CE"/>
    <w:rsid w:val="00CD5755"/>
    <w:rsid w:val="00CD61FF"/>
    <w:rsid w:val="00CD666A"/>
    <w:rsid w:val="00CD6F2C"/>
    <w:rsid w:val="00CD731C"/>
    <w:rsid w:val="00CD7CEB"/>
    <w:rsid w:val="00CE13D1"/>
    <w:rsid w:val="00CE1BBC"/>
    <w:rsid w:val="00CE1E5E"/>
    <w:rsid w:val="00CE2A07"/>
    <w:rsid w:val="00CE2C29"/>
    <w:rsid w:val="00CE2CD6"/>
    <w:rsid w:val="00CE304D"/>
    <w:rsid w:val="00CE31EF"/>
    <w:rsid w:val="00CE3E3E"/>
    <w:rsid w:val="00CE3F11"/>
    <w:rsid w:val="00CE4ACF"/>
    <w:rsid w:val="00CE4AF9"/>
    <w:rsid w:val="00CE53E1"/>
    <w:rsid w:val="00CE542F"/>
    <w:rsid w:val="00CE5949"/>
    <w:rsid w:val="00CE5C26"/>
    <w:rsid w:val="00CE607F"/>
    <w:rsid w:val="00CE64CA"/>
    <w:rsid w:val="00CE76C4"/>
    <w:rsid w:val="00CE7A72"/>
    <w:rsid w:val="00CE7CBA"/>
    <w:rsid w:val="00CF033B"/>
    <w:rsid w:val="00CF08E6"/>
    <w:rsid w:val="00CF0BC5"/>
    <w:rsid w:val="00CF0DBF"/>
    <w:rsid w:val="00CF19C4"/>
    <w:rsid w:val="00CF1AE8"/>
    <w:rsid w:val="00CF1EA7"/>
    <w:rsid w:val="00CF1F83"/>
    <w:rsid w:val="00CF27A2"/>
    <w:rsid w:val="00CF2E06"/>
    <w:rsid w:val="00CF3085"/>
    <w:rsid w:val="00CF3460"/>
    <w:rsid w:val="00CF3993"/>
    <w:rsid w:val="00CF3D06"/>
    <w:rsid w:val="00CF499D"/>
    <w:rsid w:val="00CF4B79"/>
    <w:rsid w:val="00CF4DF4"/>
    <w:rsid w:val="00CF5CE2"/>
    <w:rsid w:val="00CF5E8B"/>
    <w:rsid w:val="00CF5EC0"/>
    <w:rsid w:val="00CF5F48"/>
    <w:rsid w:val="00CF650F"/>
    <w:rsid w:val="00CF65BA"/>
    <w:rsid w:val="00CF665A"/>
    <w:rsid w:val="00CF6FC0"/>
    <w:rsid w:val="00CF6FE2"/>
    <w:rsid w:val="00CF6FEE"/>
    <w:rsid w:val="00CF7DF9"/>
    <w:rsid w:val="00D00034"/>
    <w:rsid w:val="00D006DD"/>
    <w:rsid w:val="00D009FA"/>
    <w:rsid w:val="00D00ECD"/>
    <w:rsid w:val="00D020B2"/>
    <w:rsid w:val="00D024AD"/>
    <w:rsid w:val="00D0269B"/>
    <w:rsid w:val="00D0296E"/>
    <w:rsid w:val="00D02C10"/>
    <w:rsid w:val="00D02F0C"/>
    <w:rsid w:val="00D03276"/>
    <w:rsid w:val="00D032EB"/>
    <w:rsid w:val="00D03E24"/>
    <w:rsid w:val="00D0514C"/>
    <w:rsid w:val="00D0586A"/>
    <w:rsid w:val="00D06773"/>
    <w:rsid w:val="00D06E00"/>
    <w:rsid w:val="00D071D9"/>
    <w:rsid w:val="00D07996"/>
    <w:rsid w:val="00D1104C"/>
    <w:rsid w:val="00D120E6"/>
    <w:rsid w:val="00D1240F"/>
    <w:rsid w:val="00D126C1"/>
    <w:rsid w:val="00D13D73"/>
    <w:rsid w:val="00D14B10"/>
    <w:rsid w:val="00D14CE6"/>
    <w:rsid w:val="00D14D7E"/>
    <w:rsid w:val="00D15966"/>
    <w:rsid w:val="00D16718"/>
    <w:rsid w:val="00D16838"/>
    <w:rsid w:val="00D17165"/>
    <w:rsid w:val="00D2063A"/>
    <w:rsid w:val="00D2076D"/>
    <w:rsid w:val="00D20F0E"/>
    <w:rsid w:val="00D21420"/>
    <w:rsid w:val="00D215F6"/>
    <w:rsid w:val="00D218C1"/>
    <w:rsid w:val="00D23066"/>
    <w:rsid w:val="00D232B8"/>
    <w:rsid w:val="00D23806"/>
    <w:rsid w:val="00D23992"/>
    <w:rsid w:val="00D23A3A"/>
    <w:rsid w:val="00D23BBF"/>
    <w:rsid w:val="00D24B0C"/>
    <w:rsid w:val="00D24D2A"/>
    <w:rsid w:val="00D2533C"/>
    <w:rsid w:val="00D25561"/>
    <w:rsid w:val="00D256D8"/>
    <w:rsid w:val="00D25B20"/>
    <w:rsid w:val="00D25FBD"/>
    <w:rsid w:val="00D27521"/>
    <w:rsid w:val="00D304D2"/>
    <w:rsid w:val="00D30853"/>
    <w:rsid w:val="00D3094D"/>
    <w:rsid w:val="00D30B0B"/>
    <w:rsid w:val="00D30E06"/>
    <w:rsid w:val="00D311D2"/>
    <w:rsid w:val="00D339C8"/>
    <w:rsid w:val="00D33C70"/>
    <w:rsid w:val="00D3480C"/>
    <w:rsid w:val="00D34BA6"/>
    <w:rsid w:val="00D357DF"/>
    <w:rsid w:val="00D363A8"/>
    <w:rsid w:val="00D375FA"/>
    <w:rsid w:val="00D377E0"/>
    <w:rsid w:val="00D37A10"/>
    <w:rsid w:val="00D37F15"/>
    <w:rsid w:val="00D37FD7"/>
    <w:rsid w:val="00D4093F"/>
    <w:rsid w:val="00D40B72"/>
    <w:rsid w:val="00D411F9"/>
    <w:rsid w:val="00D416CB"/>
    <w:rsid w:val="00D41A52"/>
    <w:rsid w:val="00D420AC"/>
    <w:rsid w:val="00D424BD"/>
    <w:rsid w:val="00D424E2"/>
    <w:rsid w:val="00D4269B"/>
    <w:rsid w:val="00D42724"/>
    <w:rsid w:val="00D427D3"/>
    <w:rsid w:val="00D42E0D"/>
    <w:rsid w:val="00D44914"/>
    <w:rsid w:val="00D449F8"/>
    <w:rsid w:val="00D44C79"/>
    <w:rsid w:val="00D45089"/>
    <w:rsid w:val="00D459EB"/>
    <w:rsid w:val="00D45F63"/>
    <w:rsid w:val="00D463CF"/>
    <w:rsid w:val="00D464A6"/>
    <w:rsid w:val="00D4652E"/>
    <w:rsid w:val="00D467AF"/>
    <w:rsid w:val="00D50BA6"/>
    <w:rsid w:val="00D51453"/>
    <w:rsid w:val="00D51583"/>
    <w:rsid w:val="00D51600"/>
    <w:rsid w:val="00D51644"/>
    <w:rsid w:val="00D51A28"/>
    <w:rsid w:val="00D52022"/>
    <w:rsid w:val="00D52533"/>
    <w:rsid w:val="00D54149"/>
    <w:rsid w:val="00D548A4"/>
    <w:rsid w:val="00D54FC0"/>
    <w:rsid w:val="00D5524D"/>
    <w:rsid w:val="00D55EC7"/>
    <w:rsid w:val="00D55FAB"/>
    <w:rsid w:val="00D601FD"/>
    <w:rsid w:val="00D60637"/>
    <w:rsid w:val="00D6093D"/>
    <w:rsid w:val="00D60D47"/>
    <w:rsid w:val="00D60E10"/>
    <w:rsid w:val="00D6116F"/>
    <w:rsid w:val="00D6150D"/>
    <w:rsid w:val="00D62672"/>
    <w:rsid w:val="00D64230"/>
    <w:rsid w:val="00D64E67"/>
    <w:rsid w:val="00D65715"/>
    <w:rsid w:val="00D6590C"/>
    <w:rsid w:val="00D66343"/>
    <w:rsid w:val="00D663B5"/>
    <w:rsid w:val="00D703BC"/>
    <w:rsid w:val="00D72029"/>
    <w:rsid w:val="00D74708"/>
    <w:rsid w:val="00D74A02"/>
    <w:rsid w:val="00D7557C"/>
    <w:rsid w:val="00D75A29"/>
    <w:rsid w:val="00D75B27"/>
    <w:rsid w:val="00D762D2"/>
    <w:rsid w:val="00D76490"/>
    <w:rsid w:val="00D77014"/>
    <w:rsid w:val="00D77180"/>
    <w:rsid w:val="00D77A4D"/>
    <w:rsid w:val="00D77E74"/>
    <w:rsid w:val="00D8054E"/>
    <w:rsid w:val="00D8135D"/>
    <w:rsid w:val="00D815E4"/>
    <w:rsid w:val="00D81C3C"/>
    <w:rsid w:val="00D81DB8"/>
    <w:rsid w:val="00D81FD3"/>
    <w:rsid w:val="00D8280B"/>
    <w:rsid w:val="00D828D8"/>
    <w:rsid w:val="00D83C98"/>
    <w:rsid w:val="00D84037"/>
    <w:rsid w:val="00D84369"/>
    <w:rsid w:val="00D843EC"/>
    <w:rsid w:val="00D8466B"/>
    <w:rsid w:val="00D85C87"/>
    <w:rsid w:val="00D86639"/>
    <w:rsid w:val="00D8670B"/>
    <w:rsid w:val="00D86FAC"/>
    <w:rsid w:val="00D873E4"/>
    <w:rsid w:val="00D87F05"/>
    <w:rsid w:val="00D90110"/>
    <w:rsid w:val="00D90E38"/>
    <w:rsid w:val="00D90F3A"/>
    <w:rsid w:val="00D910C9"/>
    <w:rsid w:val="00D91D6E"/>
    <w:rsid w:val="00D92421"/>
    <w:rsid w:val="00D929F9"/>
    <w:rsid w:val="00D92B58"/>
    <w:rsid w:val="00D92CA9"/>
    <w:rsid w:val="00D93226"/>
    <w:rsid w:val="00D93249"/>
    <w:rsid w:val="00D93AC6"/>
    <w:rsid w:val="00D94190"/>
    <w:rsid w:val="00D94BF6"/>
    <w:rsid w:val="00D951F8"/>
    <w:rsid w:val="00D95229"/>
    <w:rsid w:val="00D953FE"/>
    <w:rsid w:val="00D957EF"/>
    <w:rsid w:val="00D95D90"/>
    <w:rsid w:val="00D95DC5"/>
    <w:rsid w:val="00D97306"/>
    <w:rsid w:val="00DA0185"/>
    <w:rsid w:val="00DA0711"/>
    <w:rsid w:val="00DA15D1"/>
    <w:rsid w:val="00DA161D"/>
    <w:rsid w:val="00DA1A6B"/>
    <w:rsid w:val="00DA235A"/>
    <w:rsid w:val="00DA2C4D"/>
    <w:rsid w:val="00DA2E36"/>
    <w:rsid w:val="00DA3160"/>
    <w:rsid w:val="00DA4196"/>
    <w:rsid w:val="00DA488F"/>
    <w:rsid w:val="00DA5237"/>
    <w:rsid w:val="00DA5287"/>
    <w:rsid w:val="00DA654F"/>
    <w:rsid w:val="00DA6B9C"/>
    <w:rsid w:val="00DA6CB6"/>
    <w:rsid w:val="00DA6CD4"/>
    <w:rsid w:val="00DA703D"/>
    <w:rsid w:val="00DA7D7F"/>
    <w:rsid w:val="00DB106A"/>
    <w:rsid w:val="00DB13AA"/>
    <w:rsid w:val="00DB40EB"/>
    <w:rsid w:val="00DB41F1"/>
    <w:rsid w:val="00DB4EE6"/>
    <w:rsid w:val="00DB5512"/>
    <w:rsid w:val="00DB55F5"/>
    <w:rsid w:val="00DB688F"/>
    <w:rsid w:val="00DB689D"/>
    <w:rsid w:val="00DB6B99"/>
    <w:rsid w:val="00DB72DC"/>
    <w:rsid w:val="00DB7407"/>
    <w:rsid w:val="00DC032D"/>
    <w:rsid w:val="00DC0B9F"/>
    <w:rsid w:val="00DC0F1E"/>
    <w:rsid w:val="00DC106E"/>
    <w:rsid w:val="00DC1362"/>
    <w:rsid w:val="00DC15EF"/>
    <w:rsid w:val="00DC1F3D"/>
    <w:rsid w:val="00DC23DE"/>
    <w:rsid w:val="00DC289A"/>
    <w:rsid w:val="00DC2B2C"/>
    <w:rsid w:val="00DC3142"/>
    <w:rsid w:val="00DC3690"/>
    <w:rsid w:val="00DC3911"/>
    <w:rsid w:val="00DC3BB9"/>
    <w:rsid w:val="00DC3DE4"/>
    <w:rsid w:val="00DC4382"/>
    <w:rsid w:val="00DC478A"/>
    <w:rsid w:val="00DC4EC1"/>
    <w:rsid w:val="00DC553B"/>
    <w:rsid w:val="00DC5E05"/>
    <w:rsid w:val="00DC6299"/>
    <w:rsid w:val="00DC6A60"/>
    <w:rsid w:val="00DC6FDA"/>
    <w:rsid w:val="00DC7070"/>
    <w:rsid w:val="00DC772F"/>
    <w:rsid w:val="00DC7B5A"/>
    <w:rsid w:val="00DC7FBF"/>
    <w:rsid w:val="00DD0075"/>
    <w:rsid w:val="00DD0B4D"/>
    <w:rsid w:val="00DD0E03"/>
    <w:rsid w:val="00DD1A2F"/>
    <w:rsid w:val="00DD1CB3"/>
    <w:rsid w:val="00DD1D2D"/>
    <w:rsid w:val="00DD297F"/>
    <w:rsid w:val="00DD3BC0"/>
    <w:rsid w:val="00DD4900"/>
    <w:rsid w:val="00DD4FFB"/>
    <w:rsid w:val="00DD56C8"/>
    <w:rsid w:val="00DD7DEE"/>
    <w:rsid w:val="00DE083B"/>
    <w:rsid w:val="00DE12F9"/>
    <w:rsid w:val="00DE1FA3"/>
    <w:rsid w:val="00DE2058"/>
    <w:rsid w:val="00DE25E2"/>
    <w:rsid w:val="00DE33F1"/>
    <w:rsid w:val="00DE40AB"/>
    <w:rsid w:val="00DE41DC"/>
    <w:rsid w:val="00DE4CBE"/>
    <w:rsid w:val="00DE534B"/>
    <w:rsid w:val="00DE5D95"/>
    <w:rsid w:val="00DE7B74"/>
    <w:rsid w:val="00DF0576"/>
    <w:rsid w:val="00DF1DB1"/>
    <w:rsid w:val="00DF234A"/>
    <w:rsid w:val="00DF296F"/>
    <w:rsid w:val="00DF2BD2"/>
    <w:rsid w:val="00DF3729"/>
    <w:rsid w:val="00DF3FC4"/>
    <w:rsid w:val="00DF4AEF"/>
    <w:rsid w:val="00DF521B"/>
    <w:rsid w:val="00DF54E0"/>
    <w:rsid w:val="00DF5906"/>
    <w:rsid w:val="00DF613C"/>
    <w:rsid w:val="00DF62F5"/>
    <w:rsid w:val="00DF6F34"/>
    <w:rsid w:val="00DF726B"/>
    <w:rsid w:val="00DF7A17"/>
    <w:rsid w:val="00DF7E36"/>
    <w:rsid w:val="00E0034B"/>
    <w:rsid w:val="00E0059B"/>
    <w:rsid w:val="00E00690"/>
    <w:rsid w:val="00E0104C"/>
    <w:rsid w:val="00E02195"/>
    <w:rsid w:val="00E0248B"/>
    <w:rsid w:val="00E03D75"/>
    <w:rsid w:val="00E04B0D"/>
    <w:rsid w:val="00E0502F"/>
    <w:rsid w:val="00E05646"/>
    <w:rsid w:val="00E063E9"/>
    <w:rsid w:val="00E0680C"/>
    <w:rsid w:val="00E068B1"/>
    <w:rsid w:val="00E0768D"/>
    <w:rsid w:val="00E0788D"/>
    <w:rsid w:val="00E07D9B"/>
    <w:rsid w:val="00E07F87"/>
    <w:rsid w:val="00E07FA7"/>
    <w:rsid w:val="00E111E2"/>
    <w:rsid w:val="00E11D76"/>
    <w:rsid w:val="00E12C7A"/>
    <w:rsid w:val="00E12FAD"/>
    <w:rsid w:val="00E1311D"/>
    <w:rsid w:val="00E13850"/>
    <w:rsid w:val="00E13E38"/>
    <w:rsid w:val="00E14E0F"/>
    <w:rsid w:val="00E14FAE"/>
    <w:rsid w:val="00E15795"/>
    <w:rsid w:val="00E166AA"/>
    <w:rsid w:val="00E16AA8"/>
    <w:rsid w:val="00E16DD4"/>
    <w:rsid w:val="00E16FCB"/>
    <w:rsid w:val="00E172EC"/>
    <w:rsid w:val="00E177BE"/>
    <w:rsid w:val="00E17E85"/>
    <w:rsid w:val="00E17FC6"/>
    <w:rsid w:val="00E2065C"/>
    <w:rsid w:val="00E2126E"/>
    <w:rsid w:val="00E22471"/>
    <w:rsid w:val="00E224DC"/>
    <w:rsid w:val="00E2277F"/>
    <w:rsid w:val="00E22E80"/>
    <w:rsid w:val="00E230DC"/>
    <w:rsid w:val="00E245CE"/>
    <w:rsid w:val="00E255DF"/>
    <w:rsid w:val="00E302AA"/>
    <w:rsid w:val="00E30654"/>
    <w:rsid w:val="00E31147"/>
    <w:rsid w:val="00E31AB2"/>
    <w:rsid w:val="00E31EEE"/>
    <w:rsid w:val="00E32579"/>
    <w:rsid w:val="00E33E79"/>
    <w:rsid w:val="00E34019"/>
    <w:rsid w:val="00E343D3"/>
    <w:rsid w:val="00E34E02"/>
    <w:rsid w:val="00E34E12"/>
    <w:rsid w:val="00E357A4"/>
    <w:rsid w:val="00E36211"/>
    <w:rsid w:val="00E36C02"/>
    <w:rsid w:val="00E37099"/>
    <w:rsid w:val="00E3715E"/>
    <w:rsid w:val="00E372EF"/>
    <w:rsid w:val="00E375FB"/>
    <w:rsid w:val="00E40728"/>
    <w:rsid w:val="00E409DA"/>
    <w:rsid w:val="00E41C22"/>
    <w:rsid w:val="00E41FDB"/>
    <w:rsid w:val="00E4272A"/>
    <w:rsid w:val="00E42A3D"/>
    <w:rsid w:val="00E42C9D"/>
    <w:rsid w:val="00E44092"/>
    <w:rsid w:val="00E447A5"/>
    <w:rsid w:val="00E44B8B"/>
    <w:rsid w:val="00E45141"/>
    <w:rsid w:val="00E458CA"/>
    <w:rsid w:val="00E464DB"/>
    <w:rsid w:val="00E465E0"/>
    <w:rsid w:val="00E46684"/>
    <w:rsid w:val="00E46C42"/>
    <w:rsid w:val="00E47479"/>
    <w:rsid w:val="00E47670"/>
    <w:rsid w:val="00E47B81"/>
    <w:rsid w:val="00E47BAC"/>
    <w:rsid w:val="00E47C54"/>
    <w:rsid w:val="00E47D58"/>
    <w:rsid w:val="00E50869"/>
    <w:rsid w:val="00E51A9E"/>
    <w:rsid w:val="00E51BCB"/>
    <w:rsid w:val="00E52D92"/>
    <w:rsid w:val="00E53648"/>
    <w:rsid w:val="00E53895"/>
    <w:rsid w:val="00E54371"/>
    <w:rsid w:val="00E5472B"/>
    <w:rsid w:val="00E552C9"/>
    <w:rsid w:val="00E55483"/>
    <w:rsid w:val="00E556D6"/>
    <w:rsid w:val="00E55E28"/>
    <w:rsid w:val="00E60055"/>
    <w:rsid w:val="00E604FF"/>
    <w:rsid w:val="00E61906"/>
    <w:rsid w:val="00E61C3A"/>
    <w:rsid w:val="00E62171"/>
    <w:rsid w:val="00E63A03"/>
    <w:rsid w:val="00E6487F"/>
    <w:rsid w:val="00E64999"/>
    <w:rsid w:val="00E65272"/>
    <w:rsid w:val="00E65A56"/>
    <w:rsid w:val="00E65A5D"/>
    <w:rsid w:val="00E661D4"/>
    <w:rsid w:val="00E66645"/>
    <w:rsid w:val="00E67326"/>
    <w:rsid w:val="00E7226A"/>
    <w:rsid w:val="00E725AB"/>
    <w:rsid w:val="00E72A6B"/>
    <w:rsid w:val="00E74050"/>
    <w:rsid w:val="00E74470"/>
    <w:rsid w:val="00E74577"/>
    <w:rsid w:val="00E74691"/>
    <w:rsid w:val="00E74E68"/>
    <w:rsid w:val="00E7536F"/>
    <w:rsid w:val="00E75988"/>
    <w:rsid w:val="00E76D59"/>
    <w:rsid w:val="00E76F58"/>
    <w:rsid w:val="00E77AE0"/>
    <w:rsid w:val="00E807BC"/>
    <w:rsid w:val="00E8101C"/>
    <w:rsid w:val="00E817F0"/>
    <w:rsid w:val="00E81F41"/>
    <w:rsid w:val="00E82A19"/>
    <w:rsid w:val="00E8369F"/>
    <w:rsid w:val="00E84603"/>
    <w:rsid w:val="00E8469B"/>
    <w:rsid w:val="00E853EA"/>
    <w:rsid w:val="00E85802"/>
    <w:rsid w:val="00E8596F"/>
    <w:rsid w:val="00E859B0"/>
    <w:rsid w:val="00E86580"/>
    <w:rsid w:val="00E876CF"/>
    <w:rsid w:val="00E877F4"/>
    <w:rsid w:val="00E87958"/>
    <w:rsid w:val="00E901A7"/>
    <w:rsid w:val="00E906E0"/>
    <w:rsid w:val="00E911A4"/>
    <w:rsid w:val="00E9137E"/>
    <w:rsid w:val="00E916BF"/>
    <w:rsid w:val="00E91DF4"/>
    <w:rsid w:val="00E92360"/>
    <w:rsid w:val="00E924EF"/>
    <w:rsid w:val="00E927EB"/>
    <w:rsid w:val="00E92C4B"/>
    <w:rsid w:val="00E92CF6"/>
    <w:rsid w:val="00E933B7"/>
    <w:rsid w:val="00E93AD0"/>
    <w:rsid w:val="00E944B4"/>
    <w:rsid w:val="00E95B0C"/>
    <w:rsid w:val="00E95D79"/>
    <w:rsid w:val="00E964D6"/>
    <w:rsid w:val="00E96C4D"/>
    <w:rsid w:val="00E9746B"/>
    <w:rsid w:val="00E97E62"/>
    <w:rsid w:val="00E97F74"/>
    <w:rsid w:val="00E97F7F"/>
    <w:rsid w:val="00EA03DC"/>
    <w:rsid w:val="00EA06C5"/>
    <w:rsid w:val="00EA1246"/>
    <w:rsid w:val="00EA157C"/>
    <w:rsid w:val="00EA1F4D"/>
    <w:rsid w:val="00EA2109"/>
    <w:rsid w:val="00EA2695"/>
    <w:rsid w:val="00EA360A"/>
    <w:rsid w:val="00EA3B35"/>
    <w:rsid w:val="00EA41F0"/>
    <w:rsid w:val="00EA44C3"/>
    <w:rsid w:val="00EA493B"/>
    <w:rsid w:val="00EA4B74"/>
    <w:rsid w:val="00EA4BF0"/>
    <w:rsid w:val="00EA4BFA"/>
    <w:rsid w:val="00EA503A"/>
    <w:rsid w:val="00EA52D4"/>
    <w:rsid w:val="00EA54AC"/>
    <w:rsid w:val="00EA5896"/>
    <w:rsid w:val="00EA5BE7"/>
    <w:rsid w:val="00EA6994"/>
    <w:rsid w:val="00EA7FF1"/>
    <w:rsid w:val="00EB013F"/>
    <w:rsid w:val="00EB0905"/>
    <w:rsid w:val="00EB0BC5"/>
    <w:rsid w:val="00EB0F59"/>
    <w:rsid w:val="00EB12CE"/>
    <w:rsid w:val="00EB2044"/>
    <w:rsid w:val="00EB2347"/>
    <w:rsid w:val="00EB2B48"/>
    <w:rsid w:val="00EB2D38"/>
    <w:rsid w:val="00EB3F17"/>
    <w:rsid w:val="00EB4126"/>
    <w:rsid w:val="00EB4A12"/>
    <w:rsid w:val="00EB4ACF"/>
    <w:rsid w:val="00EB4D7E"/>
    <w:rsid w:val="00EB5F8F"/>
    <w:rsid w:val="00EB6081"/>
    <w:rsid w:val="00EB69E4"/>
    <w:rsid w:val="00EB6DAF"/>
    <w:rsid w:val="00EB6DF0"/>
    <w:rsid w:val="00EB6FA2"/>
    <w:rsid w:val="00EB74B4"/>
    <w:rsid w:val="00EB7B47"/>
    <w:rsid w:val="00EC0009"/>
    <w:rsid w:val="00EC1153"/>
    <w:rsid w:val="00EC21D2"/>
    <w:rsid w:val="00EC2421"/>
    <w:rsid w:val="00EC247C"/>
    <w:rsid w:val="00EC28F5"/>
    <w:rsid w:val="00EC3405"/>
    <w:rsid w:val="00EC5BB4"/>
    <w:rsid w:val="00EC5E46"/>
    <w:rsid w:val="00EC60A8"/>
    <w:rsid w:val="00EC61A3"/>
    <w:rsid w:val="00EC6A07"/>
    <w:rsid w:val="00EC6A48"/>
    <w:rsid w:val="00EC6BC9"/>
    <w:rsid w:val="00EC76BD"/>
    <w:rsid w:val="00EC7D0D"/>
    <w:rsid w:val="00EC7D47"/>
    <w:rsid w:val="00ED07F5"/>
    <w:rsid w:val="00ED14C4"/>
    <w:rsid w:val="00ED1D3B"/>
    <w:rsid w:val="00ED2223"/>
    <w:rsid w:val="00ED30FC"/>
    <w:rsid w:val="00ED33E5"/>
    <w:rsid w:val="00ED41E2"/>
    <w:rsid w:val="00ED4443"/>
    <w:rsid w:val="00ED48D2"/>
    <w:rsid w:val="00ED4BE1"/>
    <w:rsid w:val="00ED4F9C"/>
    <w:rsid w:val="00ED5155"/>
    <w:rsid w:val="00ED52D3"/>
    <w:rsid w:val="00ED5433"/>
    <w:rsid w:val="00ED5867"/>
    <w:rsid w:val="00ED5AF7"/>
    <w:rsid w:val="00ED5DE6"/>
    <w:rsid w:val="00ED64CA"/>
    <w:rsid w:val="00ED6D71"/>
    <w:rsid w:val="00ED7B42"/>
    <w:rsid w:val="00EE0042"/>
    <w:rsid w:val="00EE008A"/>
    <w:rsid w:val="00EE01A4"/>
    <w:rsid w:val="00EE0256"/>
    <w:rsid w:val="00EE03F8"/>
    <w:rsid w:val="00EE0A4A"/>
    <w:rsid w:val="00EE113C"/>
    <w:rsid w:val="00EE12DC"/>
    <w:rsid w:val="00EE1C8D"/>
    <w:rsid w:val="00EE1DCE"/>
    <w:rsid w:val="00EE1EA2"/>
    <w:rsid w:val="00EE39D7"/>
    <w:rsid w:val="00EE4585"/>
    <w:rsid w:val="00EE4909"/>
    <w:rsid w:val="00EE554A"/>
    <w:rsid w:val="00EE5957"/>
    <w:rsid w:val="00EE5994"/>
    <w:rsid w:val="00EE63B6"/>
    <w:rsid w:val="00EE6A89"/>
    <w:rsid w:val="00EE6ADB"/>
    <w:rsid w:val="00EE6B18"/>
    <w:rsid w:val="00EE6C04"/>
    <w:rsid w:val="00EE6E37"/>
    <w:rsid w:val="00EE71BA"/>
    <w:rsid w:val="00EE7D2F"/>
    <w:rsid w:val="00EE7D7E"/>
    <w:rsid w:val="00EF0695"/>
    <w:rsid w:val="00EF0AFF"/>
    <w:rsid w:val="00EF1018"/>
    <w:rsid w:val="00EF17CB"/>
    <w:rsid w:val="00EF3CC7"/>
    <w:rsid w:val="00EF41B4"/>
    <w:rsid w:val="00EF431E"/>
    <w:rsid w:val="00EF4571"/>
    <w:rsid w:val="00EF4740"/>
    <w:rsid w:val="00EF4AD9"/>
    <w:rsid w:val="00EF5DD3"/>
    <w:rsid w:val="00EF5FDB"/>
    <w:rsid w:val="00EF6BDE"/>
    <w:rsid w:val="00EF7F4D"/>
    <w:rsid w:val="00F004DC"/>
    <w:rsid w:val="00F00743"/>
    <w:rsid w:val="00F00960"/>
    <w:rsid w:val="00F00CD7"/>
    <w:rsid w:val="00F00CF5"/>
    <w:rsid w:val="00F01117"/>
    <w:rsid w:val="00F0163E"/>
    <w:rsid w:val="00F019AD"/>
    <w:rsid w:val="00F019C7"/>
    <w:rsid w:val="00F01C0D"/>
    <w:rsid w:val="00F01CDA"/>
    <w:rsid w:val="00F02099"/>
    <w:rsid w:val="00F0310F"/>
    <w:rsid w:val="00F03943"/>
    <w:rsid w:val="00F0429F"/>
    <w:rsid w:val="00F0484E"/>
    <w:rsid w:val="00F04993"/>
    <w:rsid w:val="00F0556A"/>
    <w:rsid w:val="00F055E7"/>
    <w:rsid w:val="00F060CF"/>
    <w:rsid w:val="00F0697F"/>
    <w:rsid w:val="00F06B4C"/>
    <w:rsid w:val="00F0782C"/>
    <w:rsid w:val="00F079F4"/>
    <w:rsid w:val="00F10235"/>
    <w:rsid w:val="00F10B39"/>
    <w:rsid w:val="00F10C62"/>
    <w:rsid w:val="00F10D3A"/>
    <w:rsid w:val="00F11227"/>
    <w:rsid w:val="00F1164D"/>
    <w:rsid w:val="00F11816"/>
    <w:rsid w:val="00F11D13"/>
    <w:rsid w:val="00F12AEB"/>
    <w:rsid w:val="00F12F06"/>
    <w:rsid w:val="00F137AA"/>
    <w:rsid w:val="00F14267"/>
    <w:rsid w:val="00F146C9"/>
    <w:rsid w:val="00F14DFB"/>
    <w:rsid w:val="00F14FF3"/>
    <w:rsid w:val="00F153AC"/>
    <w:rsid w:val="00F15A8E"/>
    <w:rsid w:val="00F15BEF"/>
    <w:rsid w:val="00F17E3A"/>
    <w:rsid w:val="00F200B9"/>
    <w:rsid w:val="00F2081F"/>
    <w:rsid w:val="00F209C6"/>
    <w:rsid w:val="00F20FC3"/>
    <w:rsid w:val="00F216B1"/>
    <w:rsid w:val="00F21809"/>
    <w:rsid w:val="00F22296"/>
    <w:rsid w:val="00F22A87"/>
    <w:rsid w:val="00F22DD1"/>
    <w:rsid w:val="00F22EFC"/>
    <w:rsid w:val="00F23366"/>
    <w:rsid w:val="00F23369"/>
    <w:rsid w:val="00F239E4"/>
    <w:rsid w:val="00F23E5B"/>
    <w:rsid w:val="00F244DF"/>
    <w:rsid w:val="00F2478B"/>
    <w:rsid w:val="00F25678"/>
    <w:rsid w:val="00F26B76"/>
    <w:rsid w:val="00F27640"/>
    <w:rsid w:val="00F3083E"/>
    <w:rsid w:val="00F30D96"/>
    <w:rsid w:val="00F30F87"/>
    <w:rsid w:val="00F32CCB"/>
    <w:rsid w:val="00F33DB8"/>
    <w:rsid w:val="00F34626"/>
    <w:rsid w:val="00F34CB5"/>
    <w:rsid w:val="00F3618A"/>
    <w:rsid w:val="00F36635"/>
    <w:rsid w:val="00F36B78"/>
    <w:rsid w:val="00F37013"/>
    <w:rsid w:val="00F373E5"/>
    <w:rsid w:val="00F3778F"/>
    <w:rsid w:val="00F37CA5"/>
    <w:rsid w:val="00F40133"/>
    <w:rsid w:val="00F405F7"/>
    <w:rsid w:val="00F41155"/>
    <w:rsid w:val="00F4239D"/>
    <w:rsid w:val="00F42540"/>
    <w:rsid w:val="00F42996"/>
    <w:rsid w:val="00F4351A"/>
    <w:rsid w:val="00F43829"/>
    <w:rsid w:val="00F4423B"/>
    <w:rsid w:val="00F4573A"/>
    <w:rsid w:val="00F4608C"/>
    <w:rsid w:val="00F46A94"/>
    <w:rsid w:val="00F47521"/>
    <w:rsid w:val="00F4780F"/>
    <w:rsid w:val="00F50506"/>
    <w:rsid w:val="00F50B96"/>
    <w:rsid w:val="00F51240"/>
    <w:rsid w:val="00F51445"/>
    <w:rsid w:val="00F5176B"/>
    <w:rsid w:val="00F52154"/>
    <w:rsid w:val="00F521DA"/>
    <w:rsid w:val="00F52454"/>
    <w:rsid w:val="00F52E9B"/>
    <w:rsid w:val="00F53B0B"/>
    <w:rsid w:val="00F53D09"/>
    <w:rsid w:val="00F53DE3"/>
    <w:rsid w:val="00F545D0"/>
    <w:rsid w:val="00F54F37"/>
    <w:rsid w:val="00F55FA2"/>
    <w:rsid w:val="00F5607D"/>
    <w:rsid w:val="00F5617A"/>
    <w:rsid w:val="00F579F1"/>
    <w:rsid w:val="00F57AE3"/>
    <w:rsid w:val="00F600D8"/>
    <w:rsid w:val="00F60CE7"/>
    <w:rsid w:val="00F60DA9"/>
    <w:rsid w:val="00F60F72"/>
    <w:rsid w:val="00F6147E"/>
    <w:rsid w:val="00F617B6"/>
    <w:rsid w:val="00F626C0"/>
    <w:rsid w:val="00F6363C"/>
    <w:rsid w:val="00F63745"/>
    <w:rsid w:val="00F639DC"/>
    <w:rsid w:val="00F63FB0"/>
    <w:rsid w:val="00F64440"/>
    <w:rsid w:val="00F64A8E"/>
    <w:rsid w:val="00F64E06"/>
    <w:rsid w:val="00F64FF7"/>
    <w:rsid w:val="00F65490"/>
    <w:rsid w:val="00F65BC1"/>
    <w:rsid w:val="00F65D7B"/>
    <w:rsid w:val="00F66434"/>
    <w:rsid w:val="00F66CC1"/>
    <w:rsid w:val="00F6729A"/>
    <w:rsid w:val="00F676C8"/>
    <w:rsid w:val="00F714B9"/>
    <w:rsid w:val="00F71F1A"/>
    <w:rsid w:val="00F7285F"/>
    <w:rsid w:val="00F72E21"/>
    <w:rsid w:val="00F7328E"/>
    <w:rsid w:val="00F7345E"/>
    <w:rsid w:val="00F73972"/>
    <w:rsid w:val="00F7430D"/>
    <w:rsid w:val="00F749EB"/>
    <w:rsid w:val="00F74A5C"/>
    <w:rsid w:val="00F755D8"/>
    <w:rsid w:val="00F7683D"/>
    <w:rsid w:val="00F76F1A"/>
    <w:rsid w:val="00F77213"/>
    <w:rsid w:val="00F772BA"/>
    <w:rsid w:val="00F80169"/>
    <w:rsid w:val="00F8025F"/>
    <w:rsid w:val="00F81056"/>
    <w:rsid w:val="00F8144A"/>
    <w:rsid w:val="00F81708"/>
    <w:rsid w:val="00F81843"/>
    <w:rsid w:val="00F82A64"/>
    <w:rsid w:val="00F8478C"/>
    <w:rsid w:val="00F87716"/>
    <w:rsid w:val="00F878E6"/>
    <w:rsid w:val="00F87D13"/>
    <w:rsid w:val="00F9158A"/>
    <w:rsid w:val="00F92616"/>
    <w:rsid w:val="00F93A78"/>
    <w:rsid w:val="00F95107"/>
    <w:rsid w:val="00F9534C"/>
    <w:rsid w:val="00F9539E"/>
    <w:rsid w:val="00F956AE"/>
    <w:rsid w:val="00F95E42"/>
    <w:rsid w:val="00F962A1"/>
    <w:rsid w:val="00F96FD4"/>
    <w:rsid w:val="00F97625"/>
    <w:rsid w:val="00FA1524"/>
    <w:rsid w:val="00FA1B5A"/>
    <w:rsid w:val="00FA26E0"/>
    <w:rsid w:val="00FA3C17"/>
    <w:rsid w:val="00FA4DE5"/>
    <w:rsid w:val="00FA54F3"/>
    <w:rsid w:val="00FA6103"/>
    <w:rsid w:val="00FA6544"/>
    <w:rsid w:val="00FA6D42"/>
    <w:rsid w:val="00FA7168"/>
    <w:rsid w:val="00FA7248"/>
    <w:rsid w:val="00FA79C5"/>
    <w:rsid w:val="00FB05C7"/>
    <w:rsid w:val="00FB0A8D"/>
    <w:rsid w:val="00FB0F8E"/>
    <w:rsid w:val="00FB13B8"/>
    <w:rsid w:val="00FB13C9"/>
    <w:rsid w:val="00FB14E6"/>
    <w:rsid w:val="00FB181E"/>
    <w:rsid w:val="00FB1ED8"/>
    <w:rsid w:val="00FB2486"/>
    <w:rsid w:val="00FB254C"/>
    <w:rsid w:val="00FB35D1"/>
    <w:rsid w:val="00FB380D"/>
    <w:rsid w:val="00FB3BA9"/>
    <w:rsid w:val="00FB3CE8"/>
    <w:rsid w:val="00FB3E72"/>
    <w:rsid w:val="00FB3E85"/>
    <w:rsid w:val="00FB4DAC"/>
    <w:rsid w:val="00FB54BC"/>
    <w:rsid w:val="00FB5A7E"/>
    <w:rsid w:val="00FB5F5E"/>
    <w:rsid w:val="00FB6054"/>
    <w:rsid w:val="00FB650E"/>
    <w:rsid w:val="00FB6B54"/>
    <w:rsid w:val="00FB6D78"/>
    <w:rsid w:val="00FB74B0"/>
    <w:rsid w:val="00FB7B4B"/>
    <w:rsid w:val="00FC02A6"/>
    <w:rsid w:val="00FC07E7"/>
    <w:rsid w:val="00FC09B8"/>
    <w:rsid w:val="00FC13E5"/>
    <w:rsid w:val="00FC1956"/>
    <w:rsid w:val="00FC1B75"/>
    <w:rsid w:val="00FC1C4A"/>
    <w:rsid w:val="00FC2046"/>
    <w:rsid w:val="00FC2FE6"/>
    <w:rsid w:val="00FC3048"/>
    <w:rsid w:val="00FC3174"/>
    <w:rsid w:val="00FC4912"/>
    <w:rsid w:val="00FC50C7"/>
    <w:rsid w:val="00FC533E"/>
    <w:rsid w:val="00FC547D"/>
    <w:rsid w:val="00FC562C"/>
    <w:rsid w:val="00FC5AF8"/>
    <w:rsid w:val="00FC5BBA"/>
    <w:rsid w:val="00FC614E"/>
    <w:rsid w:val="00FC734C"/>
    <w:rsid w:val="00FC7454"/>
    <w:rsid w:val="00FD1063"/>
    <w:rsid w:val="00FD2195"/>
    <w:rsid w:val="00FD2207"/>
    <w:rsid w:val="00FD2986"/>
    <w:rsid w:val="00FD4476"/>
    <w:rsid w:val="00FD4A90"/>
    <w:rsid w:val="00FD52EF"/>
    <w:rsid w:val="00FD6737"/>
    <w:rsid w:val="00FD7F1C"/>
    <w:rsid w:val="00FE0E0F"/>
    <w:rsid w:val="00FE2078"/>
    <w:rsid w:val="00FE2178"/>
    <w:rsid w:val="00FE241C"/>
    <w:rsid w:val="00FE2DCD"/>
    <w:rsid w:val="00FE366E"/>
    <w:rsid w:val="00FE3D61"/>
    <w:rsid w:val="00FE40AF"/>
    <w:rsid w:val="00FE4654"/>
    <w:rsid w:val="00FE56D6"/>
    <w:rsid w:val="00FE5966"/>
    <w:rsid w:val="00FE5B46"/>
    <w:rsid w:val="00FE6850"/>
    <w:rsid w:val="00FE6A04"/>
    <w:rsid w:val="00FE6C0D"/>
    <w:rsid w:val="00FE6D9E"/>
    <w:rsid w:val="00FF0030"/>
    <w:rsid w:val="00FF180A"/>
    <w:rsid w:val="00FF1938"/>
    <w:rsid w:val="00FF20F2"/>
    <w:rsid w:val="00FF2128"/>
    <w:rsid w:val="00FF26D4"/>
    <w:rsid w:val="00FF2AC1"/>
    <w:rsid w:val="00FF33D2"/>
    <w:rsid w:val="00FF3C37"/>
    <w:rsid w:val="00FF3C61"/>
    <w:rsid w:val="00FF3E26"/>
    <w:rsid w:val="00FF49A3"/>
    <w:rsid w:val="00FF4AE3"/>
    <w:rsid w:val="00FF56E9"/>
    <w:rsid w:val="00FF5DCF"/>
    <w:rsid w:val="00FF6031"/>
    <w:rsid w:val="00FF62E3"/>
    <w:rsid w:val="00FF65EC"/>
    <w:rsid w:val="00FF709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480C"/>
  </w:style>
  <w:style w:type="paragraph" w:styleId="Heading1">
    <w:name w:val="heading 1"/>
    <w:basedOn w:val="Normal"/>
    <w:next w:val="Normal"/>
    <w:link w:val="Heading1Char"/>
    <w:uiPriority w:val="9"/>
    <w:qFormat/>
    <w:rsid w:val="00A569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rsid w:val="00A56967"/>
    <w:pPr>
      <w:keepNext/>
      <w:spacing w:after="0" w:line="240" w:lineRule="auto"/>
      <w:ind w:firstLineChars="100" w:firstLine="181"/>
      <w:jc w:val="center"/>
      <w:outlineLvl w:val="1"/>
    </w:pPr>
    <w:rPr>
      <w:rFonts w:ascii="Arial" w:eastAsia="SimSun" w:hAnsi="Arial" w:cs="Arial"/>
      <w:b/>
      <w:bCs/>
      <w:sz w:val="18"/>
      <w:szCs w:val="18"/>
      <w:lang w:eastAsia="ar-SA"/>
    </w:rPr>
  </w:style>
  <w:style w:type="paragraph" w:styleId="Heading3">
    <w:name w:val="heading 3"/>
    <w:basedOn w:val="Normal"/>
    <w:next w:val="Normal"/>
    <w:link w:val="Heading3Char"/>
    <w:qFormat/>
    <w:rsid w:val="003C3AF4"/>
    <w:pPr>
      <w:keepNext/>
      <w:bidi/>
      <w:spacing w:after="0" w:line="240" w:lineRule="auto"/>
      <w:jc w:val="lowKashida"/>
      <w:outlineLvl w:val="2"/>
    </w:pPr>
    <w:rPr>
      <w:rFonts w:ascii="Times New Roman" w:eastAsia="Times New Roman" w:hAnsi="Times New Roman" w:cs="Simplified Arabic"/>
      <w:b/>
      <w:bCs/>
      <w:snapToGrid w:val="0"/>
      <w:sz w:val="20"/>
      <w:szCs w:val="20"/>
    </w:rPr>
  </w:style>
  <w:style w:type="paragraph" w:styleId="Heading4">
    <w:name w:val="heading 4"/>
    <w:basedOn w:val="Normal"/>
    <w:next w:val="Normal"/>
    <w:link w:val="Heading4Char"/>
    <w:uiPriority w:val="9"/>
    <w:qFormat/>
    <w:rsid w:val="00A56967"/>
    <w:pPr>
      <w:keepNext/>
      <w:bidi/>
      <w:spacing w:after="0" w:line="240" w:lineRule="auto"/>
      <w:jc w:val="right"/>
      <w:outlineLvl w:val="3"/>
    </w:pPr>
    <w:rPr>
      <w:rFonts w:ascii="Times New Roman" w:eastAsia="SimSun" w:hAnsi="Times New Roman" w:cs="Times New Roman"/>
      <w:b/>
      <w:bCs/>
      <w:sz w:val="24"/>
      <w:szCs w:val="24"/>
      <w:lang w:eastAsia="ar-SA"/>
    </w:rPr>
  </w:style>
  <w:style w:type="paragraph" w:styleId="Heading5">
    <w:name w:val="heading 5"/>
    <w:basedOn w:val="Normal"/>
    <w:next w:val="Normal"/>
    <w:link w:val="Heading5Char"/>
    <w:uiPriority w:val="9"/>
    <w:qFormat/>
    <w:rsid w:val="00A56967"/>
    <w:pPr>
      <w:keepNext/>
      <w:bidi/>
      <w:spacing w:after="0" w:line="240" w:lineRule="auto"/>
      <w:jc w:val="center"/>
      <w:outlineLvl w:val="4"/>
    </w:pPr>
    <w:rPr>
      <w:rFonts w:ascii="Times New Roman" w:eastAsia="SimSun" w:hAnsi="Times New Roman" w:cs="Times New Roman"/>
      <w:b/>
      <w:bCs/>
      <w:sz w:val="20"/>
      <w:szCs w:val="20"/>
      <w:lang w:eastAsia="zh-CN"/>
    </w:rPr>
  </w:style>
  <w:style w:type="paragraph" w:styleId="Heading6">
    <w:name w:val="heading 6"/>
    <w:basedOn w:val="Normal"/>
    <w:next w:val="Normal"/>
    <w:link w:val="Heading6Char"/>
    <w:uiPriority w:val="9"/>
    <w:unhideWhenUsed/>
    <w:qFormat/>
    <w:rsid w:val="00A56967"/>
    <w:pPr>
      <w:keepNext/>
      <w:keepLines/>
      <w:bidi/>
      <w:spacing w:before="200" w:after="0" w:line="240" w:lineRule="auto"/>
      <w:outlineLvl w:val="5"/>
    </w:pPr>
    <w:rPr>
      <w:rFonts w:asciiTheme="majorHAnsi" w:eastAsiaTheme="majorEastAsia" w:hAnsiTheme="majorHAnsi" w:cstheme="majorBidi"/>
      <w:i/>
      <w:iCs/>
      <w:color w:val="243F60" w:themeColor="accent1" w:themeShade="7F"/>
      <w:sz w:val="24"/>
      <w:szCs w:val="24"/>
      <w:lang w:eastAsia="ar-SA"/>
    </w:rPr>
  </w:style>
  <w:style w:type="paragraph" w:styleId="Heading7">
    <w:name w:val="heading 7"/>
    <w:basedOn w:val="Normal"/>
    <w:next w:val="Normal"/>
    <w:link w:val="Heading7Char"/>
    <w:uiPriority w:val="9"/>
    <w:unhideWhenUsed/>
    <w:qFormat/>
    <w:rsid w:val="00A5696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A56967"/>
    <w:pPr>
      <w:keepNext/>
      <w:keepLines/>
      <w:bidi/>
      <w:spacing w:before="200" w:after="0" w:line="240" w:lineRule="auto"/>
      <w:outlineLvl w:val="7"/>
    </w:pPr>
    <w:rPr>
      <w:rFonts w:asciiTheme="majorHAnsi" w:eastAsiaTheme="majorEastAsia" w:hAnsiTheme="majorHAnsi" w:cstheme="majorBidi"/>
      <w:color w:val="404040" w:themeColor="text1" w:themeTint="BF"/>
      <w:sz w:val="20"/>
      <w:szCs w:val="20"/>
      <w:lang w:eastAsia="ar-SA"/>
    </w:rPr>
  </w:style>
  <w:style w:type="paragraph" w:styleId="Heading9">
    <w:name w:val="heading 9"/>
    <w:basedOn w:val="Normal"/>
    <w:next w:val="Normal"/>
    <w:link w:val="Heading9Char"/>
    <w:uiPriority w:val="9"/>
    <w:unhideWhenUsed/>
    <w:qFormat/>
    <w:rsid w:val="003C3AF4"/>
    <w:pPr>
      <w:keepNext/>
      <w:keepLines/>
      <w:bidi/>
      <w:spacing w:before="200" w:after="0" w:line="240" w:lineRule="auto"/>
      <w:outlineLvl w:val="8"/>
    </w:pPr>
    <w:rPr>
      <w:rFonts w:asciiTheme="majorHAnsi" w:eastAsiaTheme="majorEastAsia" w:hAnsiTheme="majorHAnsi" w:cstheme="majorBidi"/>
      <w:i/>
      <w:iCs/>
      <w:snapToGrid w:val="0"/>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56967"/>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3C3AF4"/>
    <w:rPr>
      <w:rFonts w:ascii="Times New Roman" w:eastAsia="Times New Roman" w:hAnsi="Times New Roman" w:cs="Simplified Arabic"/>
      <w:b/>
      <w:bCs/>
      <w:snapToGrid w:val="0"/>
      <w:sz w:val="20"/>
      <w:szCs w:val="20"/>
    </w:rPr>
  </w:style>
  <w:style w:type="character" w:customStyle="1" w:styleId="Heading7Char">
    <w:name w:val="Heading 7 Char"/>
    <w:basedOn w:val="DefaultParagraphFont"/>
    <w:link w:val="Heading7"/>
    <w:uiPriority w:val="9"/>
    <w:rsid w:val="00A56967"/>
    <w:rPr>
      <w:rFonts w:asciiTheme="majorHAnsi" w:eastAsiaTheme="majorEastAsia" w:hAnsiTheme="majorHAnsi" w:cstheme="majorBidi"/>
      <w:i/>
      <w:iCs/>
      <w:color w:val="404040" w:themeColor="text1" w:themeTint="BF"/>
    </w:rPr>
  </w:style>
  <w:style w:type="character" w:customStyle="1" w:styleId="Heading9Char">
    <w:name w:val="Heading 9 Char"/>
    <w:basedOn w:val="DefaultParagraphFont"/>
    <w:link w:val="Heading9"/>
    <w:uiPriority w:val="9"/>
    <w:rsid w:val="003C3AF4"/>
    <w:rPr>
      <w:rFonts w:asciiTheme="majorHAnsi" w:eastAsiaTheme="majorEastAsia" w:hAnsiTheme="majorHAnsi" w:cstheme="majorBidi"/>
      <w:i/>
      <w:iCs/>
      <w:snapToGrid w:val="0"/>
      <w:color w:val="404040" w:themeColor="text1" w:themeTint="BF"/>
      <w:sz w:val="20"/>
      <w:szCs w:val="20"/>
    </w:rPr>
  </w:style>
  <w:style w:type="table" w:styleId="TableGrid">
    <w:name w:val="Table Grid"/>
    <w:basedOn w:val="TableNormal"/>
    <w:uiPriority w:val="39"/>
    <w:rsid w:val="00EA5BE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single space,Sharp - Footnote Text,Footnote Text - Sharp Char Char,Footnote Text - Sharp Char,FOOTNOTES,fn"/>
    <w:basedOn w:val="Normal"/>
    <w:link w:val="FootnoteTextChar"/>
    <w:uiPriority w:val="99"/>
    <w:unhideWhenUsed/>
    <w:rsid w:val="00EA5BE7"/>
    <w:pPr>
      <w:spacing w:after="0" w:line="240" w:lineRule="auto"/>
    </w:pPr>
    <w:rPr>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uiPriority w:val="99"/>
    <w:rsid w:val="00EA5BE7"/>
    <w:rPr>
      <w:sz w:val="20"/>
      <w:szCs w:val="20"/>
    </w:rPr>
  </w:style>
  <w:style w:type="character" w:styleId="FootnoteReference">
    <w:name w:val="footnote reference"/>
    <w:aliases w:val="ftref"/>
    <w:basedOn w:val="DefaultParagraphFont"/>
    <w:uiPriority w:val="99"/>
    <w:unhideWhenUsed/>
    <w:rsid w:val="00EA5BE7"/>
    <w:rPr>
      <w:vertAlign w:val="superscript"/>
    </w:rPr>
  </w:style>
  <w:style w:type="paragraph" w:styleId="BalloonText">
    <w:name w:val="Balloon Text"/>
    <w:basedOn w:val="Normal"/>
    <w:link w:val="BalloonTextChar"/>
    <w:uiPriority w:val="99"/>
    <w:unhideWhenUsed/>
    <w:rsid w:val="00971B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71BE3"/>
    <w:rPr>
      <w:rFonts w:ascii="Tahoma" w:hAnsi="Tahoma" w:cs="Tahoma"/>
      <w:sz w:val="16"/>
      <w:szCs w:val="16"/>
    </w:rPr>
  </w:style>
  <w:style w:type="paragraph" w:styleId="BodyText">
    <w:name w:val="Body Text"/>
    <w:basedOn w:val="Normal"/>
    <w:link w:val="BodyTextChar"/>
    <w:uiPriority w:val="99"/>
    <w:rsid w:val="003C3AF4"/>
    <w:pPr>
      <w:bidi/>
      <w:spacing w:after="0" w:line="240" w:lineRule="auto"/>
      <w:jc w:val="lowKashida"/>
    </w:pPr>
    <w:rPr>
      <w:rFonts w:ascii="Times New Roman" w:eastAsia="Times New Roman" w:hAnsi="Times New Roman" w:cs="Simplified Arabic"/>
      <w:sz w:val="24"/>
      <w:szCs w:val="20"/>
    </w:rPr>
  </w:style>
  <w:style w:type="character" w:customStyle="1" w:styleId="BodyTextChar">
    <w:name w:val="Body Text Char"/>
    <w:basedOn w:val="DefaultParagraphFont"/>
    <w:link w:val="BodyText"/>
    <w:uiPriority w:val="99"/>
    <w:rsid w:val="003C3AF4"/>
    <w:rPr>
      <w:rFonts w:ascii="Times New Roman" w:eastAsia="Times New Roman" w:hAnsi="Times New Roman" w:cs="Simplified Arabic"/>
      <w:sz w:val="24"/>
      <w:szCs w:val="20"/>
    </w:rPr>
  </w:style>
  <w:style w:type="paragraph" w:customStyle="1" w:styleId="Normal1">
    <w:name w:val="Normal1"/>
    <w:basedOn w:val="Normal"/>
    <w:rsid w:val="003E4C88"/>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ListParagraph">
    <w:name w:val="List Paragraph"/>
    <w:basedOn w:val="Normal"/>
    <w:uiPriority w:val="34"/>
    <w:qFormat/>
    <w:rsid w:val="00662B7D"/>
    <w:pPr>
      <w:ind w:left="720"/>
      <w:contextualSpacing/>
    </w:pPr>
  </w:style>
  <w:style w:type="paragraph" w:styleId="BodyTextIndent2">
    <w:name w:val="Body Text Indent 2"/>
    <w:basedOn w:val="Normal"/>
    <w:link w:val="BodyTextIndent2Char"/>
    <w:uiPriority w:val="99"/>
    <w:unhideWhenUsed/>
    <w:rsid w:val="00A56967"/>
    <w:pPr>
      <w:spacing w:after="120" w:line="480" w:lineRule="auto"/>
      <w:ind w:left="360"/>
    </w:pPr>
  </w:style>
  <w:style w:type="character" w:customStyle="1" w:styleId="BodyTextIndent2Char">
    <w:name w:val="Body Text Indent 2 Char"/>
    <w:basedOn w:val="DefaultParagraphFont"/>
    <w:link w:val="BodyTextIndent2"/>
    <w:uiPriority w:val="99"/>
    <w:rsid w:val="00A56967"/>
  </w:style>
  <w:style w:type="character" w:customStyle="1" w:styleId="Heading2Char">
    <w:name w:val="Heading 2 Char"/>
    <w:basedOn w:val="DefaultParagraphFont"/>
    <w:link w:val="Heading2"/>
    <w:uiPriority w:val="9"/>
    <w:rsid w:val="00A56967"/>
    <w:rPr>
      <w:rFonts w:ascii="Arial" w:eastAsia="SimSun" w:hAnsi="Arial" w:cs="Arial"/>
      <w:b/>
      <w:bCs/>
      <w:sz w:val="18"/>
      <w:szCs w:val="18"/>
      <w:lang w:eastAsia="ar-SA"/>
    </w:rPr>
  </w:style>
  <w:style w:type="character" w:customStyle="1" w:styleId="Heading4Char">
    <w:name w:val="Heading 4 Char"/>
    <w:basedOn w:val="DefaultParagraphFont"/>
    <w:link w:val="Heading4"/>
    <w:uiPriority w:val="9"/>
    <w:rsid w:val="00A56967"/>
    <w:rPr>
      <w:rFonts w:ascii="Times New Roman" w:eastAsia="SimSun" w:hAnsi="Times New Roman" w:cs="Times New Roman"/>
      <w:b/>
      <w:bCs/>
      <w:sz w:val="24"/>
      <w:szCs w:val="24"/>
      <w:lang w:eastAsia="ar-SA"/>
    </w:rPr>
  </w:style>
  <w:style w:type="character" w:customStyle="1" w:styleId="Heading5Char">
    <w:name w:val="Heading 5 Char"/>
    <w:basedOn w:val="DefaultParagraphFont"/>
    <w:link w:val="Heading5"/>
    <w:uiPriority w:val="9"/>
    <w:rsid w:val="00A56967"/>
    <w:rPr>
      <w:rFonts w:ascii="Times New Roman" w:eastAsia="SimSun" w:hAnsi="Times New Roman" w:cs="Times New Roman"/>
      <w:b/>
      <w:bCs/>
      <w:sz w:val="20"/>
      <w:szCs w:val="20"/>
      <w:lang w:eastAsia="zh-CN"/>
    </w:rPr>
  </w:style>
  <w:style w:type="character" w:customStyle="1" w:styleId="Heading6Char">
    <w:name w:val="Heading 6 Char"/>
    <w:basedOn w:val="DefaultParagraphFont"/>
    <w:link w:val="Heading6"/>
    <w:uiPriority w:val="9"/>
    <w:rsid w:val="00A56967"/>
    <w:rPr>
      <w:rFonts w:asciiTheme="majorHAnsi" w:eastAsiaTheme="majorEastAsia" w:hAnsiTheme="majorHAnsi" w:cstheme="majorBidi"/>
      <w:i/>
      <w:iCs/>
      <w:color w:val="243F60" w:themeColor="accent1" w:themeShade="7F"/>
      <w:sz w:val="24"/>
      <w:szCs w:val="24"/>
      <w:lang w:eastAsia="ar-SA"/>
    </w:rPr>
  </w:style>
  <w:style w:type="character" w:customStyle="1" w:styleId="Heading8Char">
    <w:name w:val="Heading 8 Char"/>
    <w:basedOn w:val="DefaultParagraphFont"/>
    <w:link w:val="Heading8"/>
    <w:uiPriority w:val="9"/>
    <w:rsid w:val="00A56967"/>
    <w:rPr>
      <w:rFonts w:asciiTheme="majorHAnsi" w:eastAsiaTheme="majorEastAsia" w:hAnsiTheme="majorHAnsi" w:cstheme="majorBidi"/>
      <w:color w:val="404040" w:themeColor="text1" w:themeTint="BF"/>
      <w:sz w:val="20"/>
      <w:szCs w:val="20"/>
      <w:lang w:eastAsia="ar-SA"/>
    </w:rPr>
  </w:style>
  <w:style w:type="character" w:customStyle="1" w:styleId="BodyText3Char">
    <w:name w:val="Body Text 3 Char"/>
    <w:basedOn w:val="DefaultParagraphFont"/>
    <w:link w:val="BodyText3"/>
    <w:uiPriority w:val="99"/>
    <w:rsid w:val="00A56967"/>
    <w:rPr>
      <w:rFonts w:ascii="Times New Roman" w:eastAsia="SimSun" w:hAnsi="Times New Roman" w:cs="Times New Roman"/>
      <w:b/>
      <w:bCs/>
      <w:lang w:eastAsia="ar-SA"/>
    </w:rPr>
  </w:style>
  <w:style w:type="paragraph" w:styleId="BodyText3">
    <w:name w:val="Body Text 3"/>
    <w:basedOn w:val="Normal"/>
    <w:link w:val="BodyText3Char"/>
    <w:uiPriority w:val="99"/>
    <w:rsid w:val="00A56967"/>
    <w:pPr>
      <w:bidi/>
      <w:spacing w:after="0" w:line="240" w:lineRule="auto"/>
      <w:jc w:val="center"/>
    </w:pPr>
    <w:rPr>
      <w:rFonts w:ascii="Times New Roman" w:eastAsia="SimSun" w:hAnsi="Times New Roman" w:cs="Times New Roman"/>
      <w:b/>
      <w:bCs/>
      <w:lang w:eastAsia="ar-SA"/>
    </w:rPr>
  </w:style>
  <w:style w:type="character" w:customStyle="1" w:styleId="BodyText3Char1">
    <w:name w:val="Body Text 3 Char1"/>
    <w:basedOn w:val="DefaultParagraphFont"/>
    <w:uiPriority w:val="99"/>
    <w:semiHidden/>
    <w:rsid w:val="00A56967"/>
    <w:rPr>
      <w:sz w:val="16"/>
      <w:szCs w:val="16"/>
    </w:rPr>
  </w:style>
  <w:style w:type="character" w:customStyle="1" w:styleId="HeaderChar">
    <w:name w:val="Header Char"/>
    <w:basedOn w:val="DefaultParagraphFont"/>
    <w:link w:val="Header"/>
    <w:uiPriority w:val="99"/>
    <w:rsid w:val="00A56967"/>
    <w:rPr>
      <w:rFonts w:ascii="Times New Roman" w:eastAsia="SimSun" w:hAnsi="Times New Roman" w:cs="Times New Roman"/>
      <w:noProof/>
      <w:sz w:val="20"/>
      <w:szCs w:val="20"/>
    </w:rPr>
  </w:style>
  <w:style w:type="paragraph" w:styleId="Header">
    <w:name w:val="header"/>
    <w:basedOn w:val="Normal"/>
    <w:link w:val="HeaderChar"/>
    <w:uiPriority w:val="99"/>
    <w:rsid w:val="00A56967"/>
    <w:pPr>
      <w:tabs>
        <w:tab w:val="center" w:pos="4153"/>
        <w:tab w:val="right" w:pos="8306"/>
      </w:tabs>
      <w:bidi/>
      <w:spacing w:after="0" w:line="240" w:lineRule="auto"/>
    </w:pPr>
    <w:rPr>
      <w:rFonts w:ascii="Times New Roman" w:eastAsia="SimSun" w:hAnsi="Times New Roman" w:cs="Times New Roman"/>
      <w:noProof/>
      <w:sz w:val="20"/>
      <w:szCs w:val="20"/>
    </w:rPr>
  </w:style>
  <w:style w:type="character" w:customStyle="1" w:styleId="HeaderChar1">
    <w:name w:val="Header Char1"/>
    <w:basedOn w:val="DefaultParagraphFont"/>
    <w:uiPriority w:val="99"/>
    <w:semiHidden/>
    <w:rsid w:val="00A56967"/>
  </w:style>
  <w:style w:type="character" w:customStyle="1" w:styleId="BodyTextIndentChar">
    <w:name w:val="Body Text Indent Char"/>
    <w:basedOn w:val="DefaultParagraphFont"/>
    <w:link w:val="BodyTextIndent"/>
    <w:uiPriority w:val="99"/>
    <w:rsid w:val="00A56967"/>
    <w:rPr>
      <w:rFonts w:ascii="Courier New" w:eastAsia="SimSun" w:hAnsi="Courier New" w:cs="Courier New"/>
      <w:sz w:val="24"/>
      <w:szCs w:val="24"/>
      <w:lang w:eastAsia="zh-CN"/>
    </w:rPr>
  </w:style>
  <w:style w:type="paragraph" w:styleId="BodyTextIndent">
    <w:name w:val="Body Text Indent"/>
    <w:basedOn w:val="Normal"/>
    <w:link w:val="BodyTextIndentChar"/>
    <w:uiPriority w:val="99"/>
    <w:rsid w:val="00A56967"/>
    <w:pPr>
      <w:spacing w:after="0" w:line="240" w:lineRule="auto"/>
      <w:jc w:val="center"/>
    </w:pPr>
    <w:rPr>
      <w:rFonts w:ascii="Courier New" w:eastAsia="SimSun" w:hAnsi="Courier New" w:cs="Courier New"/>
      <w:sz w:val="24"/>
      <w:szCs w:val="24"/>
      <w:lang w:eastAsia="zh-CN"/>
    </w:rPr>
  </w:style>
  <w:style w:type="character" w:customStyle="1" w:styleId="BodyTextIndentChar1">
    <w:name w:val="Body Text Indent Char1"/>
    <w:basedOn w:val="DefaultParagraphFont"/>
    <w:uiPriority w:val="99"/>
    <w:semiHidden/>
    <w:rsid w:val="00A56967"/>
  </w:style>
  <w:style w:type="character" w:customStyle="1" w:styleId="FooterChar">
    <w:name w:val="Footer Char"/>
    <w:basedOn w:val="DefaultParagraphFont"/>
    <w:link w:val="Footer"/>
    <w:uiPriority w:val="99"/>
    <w:rsid w:val="00A56967"/>
    <w:rPr>
      <w:rFonts w:ascii="Times New Roman" w:eastAsia="SimSun" w:hAnsi="Times New Roman" w:cs="Times New Roman"/>
      <w:sz w:val="24"/>
      <w:szCs w:val="24"/>
      <w:lang w:eastAsia="zh-CN"/>
    </w:rPr>
  </w:style>
  <w:style w:type="paragraph" w:styleId="Footer">
    <w:name w:val="footer"/>
    <w:basedOn w:val="Normal"/>
    <w:link w:val="FooterChar"/>
    <w:uiPriority w:val="99"/>
    <w:rsid w:val="00A56967"/>
    <w:pPr>
      <w:tabs>
        <w:tab w:val="center" w:pos="4320"/>
        <w:tab w:val="right" w:pos="8640"/>
      </w:tabs>
      <w:bidi/>
      <w:spacing w:after="0" w:line="240" w:lineRule="auto"/>
    </w:pPr>
    <w:rPr>
      <w:rFonts w:ascii="Times New Roman" w:eastAsia="SimSun" w:hAnsi="Times New Roman" w:cs="Times New Roman"/>
      <w:sz w:val="24"/>
      <w:szCs w:val="24"/>
      <w:lang w:eastAsia="zh-CN"/>
    </w:rPr>
  </w:style>
  <w:style w:type="character" w:customStyle="1" w:styleId="FooterChar1">
    <w:name w:val="Footer Char1"/>
    <w:basedOn w:val="DefaultParagraphFont"/>
    <w:uiPriority w:val="99"/>
    <w:semiHidden/>
    <w:rsid w:val="00A56967"/>
  </w:style>
  <w:style w:type="paragraph" w:customStyle="1" w:styleId="xl31">
    <w:name w:val="xl31"/>
    <w:basedOn w:val="Normal"/>
    <w:rsid w:val="00A56967"/>
    <w:pPr>
      <w:spacing w:before="100" w:beforeAutospacing="1" w:after="100" w:afterAutospacing="1" w:line="240" w:lineRule="auto"/>
      <w:jc w:val="right"/>
    </w:pPr>
    <w:rPr>
      <w:rFonts w:ascii="Arial" w:eastAsia="Arial Unicode MS" w:hAnsi="Arial" w:cs="Arial"/>
      <w:sz w:val="18"/>
      <w:szCs w:val="18"/>
      <w:lang w:eastAsia="ar-SA"/>
    </w:rPr>
  </w:style>
  <w:style w:type="paragraph" w:customStyle="1" w:styleId="xl22">
    <w:name w:val="xl22"/>
    <w:basedOn w:val="Normal"/>
    <w:rsid w:val="00A56967"/>
    <w:pPr>
      <w:spacing w:before="100" w:beforeAutospacing="1" w:after="100" w:afterAutospacing="1" w:line="240" w:lineRule="auto"/>
      <w:jc w:val="right"/>
    </w:pPr>
    <w:rPr>
      <w:rFonts w:ascii="Arial" w:eastAsia="Arial Unicode MS" w:hAnsi="Arial" w:cs="Arial"/>
      <w:b/>
      <w:bCs/>
      <w:sz w:val="18"/>
      <w:szCs w:val="18"/>
      <w:lang w:eastAsia="ar-SA"/>
    </w:rPr>
  </w:style>
  <w:style w:type="paragraph" w:customStyle="1" w:styleId="xl25">
    <w:name w:val="xl25"/>
    <w:basedOn w:val="Normal"/>
    <w:rsid w:val="00A56967"/>
    <w:pPr>
      <w:pBdr>
        <w:lef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ar-SA"/>
    </w:rPr>
  </w:style>
  <w:style w:type="paragraph" w:customStyle="1" w:styleId="xl29">
    <w:name w:val="xl29"/>
    <w:basedOn w:val="Normal"/>
    <w:rsid w:val="00A56967"/>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Unicode MS" w:eastAsia="Arial Unicode MS" w:hAnsi="Arial Unicode MS" w:cs="Arial Unicode MS"/>
      <w:b/>
      <w:bCs/>
      <w:sz w:val="24"/>
      <w:szCs w:val="24"/>
      <w:lang w:eastAsia="ar-SA"/>
    </w:rPr>
  </w:style>
  <w:style w:type="paragraph" w:customStyle="1" w:styleId="xl27">
    <w:name w:val="xl27"/>
    <w:basedOn w:val="Normal"/>
    <w:rsid w:val="00A56967"/>
    <w:pPr>
      <w:pBdr>
        <w:right w:val="single" w:sz="4" w:space="0" w:color="auto"/>
      </w:pBdr>
      <w:spacing w:before="100" w:beforeAutospacing="1" w:after="100" w:afterAutospacing="1" w:line="240" w:lineRule="auto"/>
    </w:pPr>
    <w:rPr>
      <w:rFonts w:ascii="Arial" w:eastAsia="Arial Unicode MS" w:hAnsi="Arial" w:cs="Arial"/>
      <w:sz w:val="18"/>
      <w:szCs w:val="18"/>
      <w:lang w:eastAsia="ar-SA"/>
    </w:rPr>
  </w:style>
  <w:style w:type="character" w:styleId="Hyperlink">
    <w:name w:val="Hyperlink"/>
    <w:basedOn w:val="DefaultParagraphFont"/>
    <w:uiPriority w:val="99"/>
    <w:unhideWhenUsed/>
    <w:rsid w:val="0021257D"/>
    <w:rPr>
      <w:color w:val="0000FF"/>
      <w:u w:val="single"/>
    </w:rPr>
  </w:style>
  <w:style w:type="character" w:styleId="FollowedHyperlink">
    <w:name w:val="FollowedHyperlink"/>
    <w:basedOn w:val="DefaultParagraphFont"/>
    <w:uiPriority w:val="99"/>
    <w:unhideWhenUsed/>
    <w:rsid w:val="0021257D"/>
    <w:rPr>
      <w:color w:val="800080"/>
      <w:u w:val="single"/>
    </w:rPr>
  </w:style>
  <w:style w:type="character" w:styleId="Emphasis">
    <w:name w:val="Emphasis"/>
    <w:basedOn w:val="DefaultParagraphFont"/>
    <w:uiPriority w:val="20"/>
    <w:qFormat/>
    <w:rsid w:val="0021257D"/>
    <w:rPr>
      <w:i/>
      <w:iCs w:val="0"/>
    </w:rPr>
  </w:style>
  <w:style w:type="character" w:styleId="Strong">
    <w:name w:val="Strong"/>
    <w:basedOn w:val="DefaultParagraphFont"/>
    <w:uiPriority w:val="22"/>
    <w:qFormat/>
    <w:rsid w:val="0021257D"/>
    <w:rPr>
      <w:b/>
      <w:bCs w:val="0"/>
    </w:rPr>
  </w:style>
  <w:style w:type="paragraph" w:styleId="NormalWeb">
    <w:name w:val="Normal (Web)"/>
    <w:basedOn w:val="Normal"/>
    <w:uiPriority w:val="99"/>
    <w:unhideWhenUsed/>
    <w:rsid w:val="0021257D"/>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21257D"/>
    <w:pPr>
      <w:tabs>
        <w:tab w:val="left" w:pos="720"/>
        <w:tab w:val="right" w:leader="dot" w:pos="9000"/>
      </w:tabs>
      <w:bidi/>
      <w:spacing w:after="0" w:line="240" w:lineRule="exact"/>
    </w:pPr>
    <w:rPr>
      <w:rFonts w:ascii="Simplified Arabic" w:eastAsia="Times New Roman" w:hAnsi="Simplified Arabic" w:cs="Simplified Arabic"/>
      <w:b/>
      <w:bCs/>
      <w:color w:val="000000"/>
      <w:sz w:val="20"/>
      <w:szCs w:val="20"/>
      <w:lang w:bidi="ar-JO"/>
    </w:rPr>
  </w:style>
  <w:style w:type="paragraph" w:styleId="TOC2">
    <w:name w:val="toc 2"/>
    <w:basedOn w:val="Normal"/>
    <w:next w:val="Normal"/>
    <w:autoRedefine/>
    <w:uiPriority w:val="39"/>
    <w:unhideWhenUsed/>
    <w:qFormat/>
    <w:rsid w:val="00A87D4C"/>
    <w:pPr>
      <w:tabs>
        <w:tab w:val="right" w:leader="dot" w:pos="9019"/>
      </w:tabs>
      <w:spacing w:after="0" w:line="240" w:lineRule="auto"/>
    </w:pPr>
    <w:rPr>
      <w:rFonts w:ascii="Times New Roman" w:eastAsia="Times New Roman" w:hAnsi="Times New Roman" w:cs="Times New Roman"/>
      <w:szCs w:val="20"/>
    </w:rPr>
  </w:style>
  <w:style w:type="paragraph" w:styleId="TOC3">
    <w:name w:val="toc 3"/>
    <w:basedOn w:val="Normal"/>
    <w:next w:val="Normal"/>
    <w:autoRedefine/>
    <w:uiPriority w:val="39"/>
    <w:unhideWhenUsed/>
    <w:qFormat/>
    <w:rsid w:val="0021257D"/>
    <w:pPr>
      <w:spacing w:after="0" w:line="240" w:lineRule="auto"/>
      <w:ind w:left="440"/>
    </w:pPr>
    <w:rPr>
      <w:rFonts w:ascii="Times New Roman" w:eastAsia="Times New Roman" w:hAnsi="Times New Roman" w:cs="Times New Roman"/>
      <w:szCs w:val="20"/>
    </w:rPr>
  </w:style>
  <w:style w:type="paragraph" w:styleId="TOC4">
    <w:name w:val="toc 4"/>
    <w:basedOn w:val="Normal"/>
    <w:next w:val="Normal"/>
    <w:autoRedefine/>
    <w:uiPriority w:val="39"/>
    <w:unhideWhenUsed/>
    <w:rsid w:val="0021257D"/>
    <w:pPr>
      <w:spacing w:after="0" w:line="240" w:lineRule="auto"/>
      <w:ind w:left="660"/>
    </w:pPr>
    <w:rPr>
      <w:rFonts w:ascii="Times New Roman" w:eastAsia="Times New Roman" w:hAnsi="Times New Roman" w:cs="Times New Roman"/>
      <w:szCs w:val="20"/>
    </w:rPr>
  </w:style>
  <w:style w:type="paragraph" w:styleId="TOC5">
    <w:name w:val="toc 5"/>
    <w:basedOn w:val="Normal"/>
    <w:next w:val="Normal"/>
    <w:autoRedefine/>
    <w:uiPriority w:val="39"/>
    <w:unhideWhenUsed/>
    <w:rsid w:val="0021257D"/>
    <w:pPr>
      <w:spacing w:after="0" w:line="240" w:lineRule="auto"/>
      <w:ind w:left="880"/>
    </w:pPr>
    <w:rPr>
      <w:rFonts w:ascii="Times New Roman" w:eastAsia="Times New Roman" w:hAnsi="Times New Roman" w:cs="Times New Roman"/>
      <w:szCs w:val="20"/>
    </w:rPr>
  </w:style>
  <w:style w:type="paragraph" w:styleId="TOC6">
    <w:name w:val="toc 6"/>
    <w:basedOn w:val="Normal"/>
    <w:next w:val="Normal"/>
    <w:autoRedefine/>
    <w:uiPriority w:val="39"/>
    <w:unhideWhenUsed/>
    <w:rsid w:val="0021257D"/>
    <w:pPr>
      <w:spacing w:after="0" w:line="240" w:lineRule="auto"/>
      <w:ind w:left="1100"/>
    </w:pPr>
    <w:rPr>
      <w:rFonts w:ascii="Times New Roman" w:eastAsia="Times New Roman" w:hAnsi="Times New Roman" w:cs="Times New Roman"/>
      <w:szCs w:val="20"/>
    </w:rPr>
  </w:style>
  <w:style w:type="paragraph" w:styleId="TOC7">
    <w:name w:val="toc 7"/>
    <w:basedOn w:val="Normal"/>
    <w:next w:val="Normal"/>
    <w:autoRedefine/>
    <w:uiPriority w:val="39"/>
    <w:unhideWhenUsed/>
    <w:rsid w:val="0021257D"/>
    <w:pPr>
      <w:spacing w:after="0" w:line="240" w:lineRule="auto"/>
      <w:ind w:left="1320"/>
    </w:pPr>
    <w:rPr>
      <w:rFonts w:ascii="Times New Roman" w:eastAsia="Times New Roman" w:hAnsi="Times New Roman" w:cs="Times New Roman"/>
      <w:szCs w:val="20"/>
    </w:rPr>
  </w:style>
  <w:style w:type="paragraph" w:styleId="TOC8">
    <w:name w:val="toc 8"/>
    <w:basedOn w:val="Normal"/>
    <w:next w:val="Normal"/>
    <w:autoRedefine/>
    <w:uiPriority w:val="39"/>
    <w:unhideWhenUsed/>
    <w:rsid w:val="0021257D"/>
    <w:pPr>
      <w:spacing w:after="0" w:line="240" w:lineRule="auto"/>
      <w:ind w:left="1540"/>
    </w:pPr>
    <w:rPr>
      <w:rFonts w:ascii="Times New Roman" w:eastAsia="Times New Roman" w:hAnsi="Times New Roman" w:cs="Times New Roman"/>
      <w:szCs w:val="20"/>
    </w:rPr>
  </w:style>
  <w:style w:type="paragraph" w:styleId="TOC9">
    <w:name w:val="toc 9"/>
    <w:basedOn w:val="Normal"/>
    <w:next w:val="Normal"/>
    <w:autoRedefine/>
    <w:uiPriority w:val="39"/>
    <w:unhideWhenUsed/>
    <w:rsid w:val="0021257D"/>
    <w:pPr>
      <w:spacing w:after="0" w:line="240" w:lineRule="auto"/>
      <w:ind w:left="1760"/>
    </w:pPr>
    <w:rPr>
      <w:rFonts w:ascii="Times New Roman" w:eastAsia="Times New Roman" w:hAnsi="Times New Roman" w:cs="Times New Roman"/>
      <w:szCs w:val="20"/>
    </w:rPr>
  </w:style>
  <w:style w:type="paragraph" w:styleId="CommentText">
    <w:name w:val="annotation text"/>
    <w:basedOn w:val="Normal"/>
    <w:link w:val="CommentTextChar"/>
    <w:uiPriority w:val="99"/>
    <w:semiHidden/>
    <w:unhideWhenUsed/>
    <w:rsid w:val="0021257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21257D"/>
    <w:rPr>
      <w:rFonts w:ascii="Times New Roman" w:eastAsia="Times New Roman" w:hAnsi="Times New Roman" w:cs="Times New Roman"/>
      <w:sz w:val="20"/>
      <w:szCs w:val="20"/>
    </w:rPr>
  </w:style>
  <w:style w:type="paragraph" w:styleId="Caption">
    <w:name w:val="caption"/>
    <w:basedOn w:val="Normal"/>
    <w:next w:val="Normal"/>
    <w:uiPriority w:val="35"/>
    <w:unhideWhenUsed/>
    <w:qFormat/>
    <w:rsid w:val="0021257D"/>
    <w:pPr>
      <w:tabs>
        <w:tab w:val="right" w:pos="6377"/>
      </w:tabs>
      <w:bidi/>
      <w:spacing w:after="0" w:line="240" w:lineRule="auto"/>
      <w:jc w:val="center"/>
    </w:pPr>
    <w:rPr>
      <w:rFonts w:ascii="Times New Roman" w:eastAsia="Times New Roman" w:hAnsi="Times New Roman" w:cs="Times New Roman"/>
      <w:b/>
      <w:bCs/>
      <w:noProof/>
      <w:sz w:val="24"/>
      <w:szCs w:val="28"/>
    </w:rPr>
  </w:style>
  <w:style w:type="paragraph" w:styleId="TableofFigures">
    <w:name w:val="table of figures"/>
    <w:basedOn w:val="Normal"/>
    <w:next w:val="Normal"/>
    <w:uiPriority w:val="99"/>
    <w:unhideWhenUsed/>
    <w:rsid w:val="0021257D"/>
    <w:pPr>
      <w:spacing w:after="0"/>
      <w:ind w:left="440" w:hanging="440"/>
    </w:pPr>
    <w:rPr>
      <w:rFonts w:cs="Times New Roman"/>
      <w:caps/>
      <w:sz w:val="20"/>
      <w:szCs w:val="24"/>
    </w:rPr>
  </w:style>
  <w:style w:type="paragraph" w:styleId="ListBullet">
    <w:name w:val="List Bullet"/>
    <w:basedOn w:val="Normal"/>
    <w:unhideWhenUsed/>
    <w:rsid w:val="0021257D"/>
    <w:pPr>
      <w:numPr>
        <w:numId w:val="1"/>
      </w:numPr>
      <w:spacing w:after="0" w:line="240" w:lineRule="auto"/>
      <w:contextualSpacing/>
    </w:pPr>
    <w:rPr>
      <w:rFonts w:ascii="Times New Roman" w:eastAsia="Times New Roman" w:hAnsi="Times New Roman" w:cs="Times New Roman"/>
      <w:szCs w:val="20"/>
    </w:rPr>
  </w:style>
  <w:style w:type="paragraph" w:styleId="Title">
    <w:name w:val="Title"/>
    <w:basedOn w:val="Normal"/>
    <w:link w:val="TitleChar"/>
    <w:uiPriority w:val="10"/>
    <w:qFormat/>
    <w:rsid w:val="0021257D"/>
    <w:pPr>
      <w:bidi/>
      <w:spacing w:after="0" w:line="240" w:lineRule="auto"/>
      <w:jc w:val="center"/>
    </w:pPr>
    <w:rPr>
      <w:rFonts w:ascii="Times New Roman" w:eastAsia="Times New Roman" w:hAnsi="Times New Roman" w:cs="Times New Roman"/>
      <w:b/>
      <w:bCs/>
      <w:noProof/>
      <w:sz w:val="28"/>
      <w:szCs w:val="33"/>
    </w:rPr>
  </w:style>
  <w:style w:type="character" w:customStyle="1" w:styleId="TitleChar">
    <w:name w:val="Title Char"/>
    <w:basedOn w:val="DefaultParagraphFont"/>
    <w:link w:val="Title"/>
    <w:uiPriority w:val="10"/>
    <w:rsid w:val="0021257D"/>
    <w:rPr>
      <w:rFonts w:ascii="Times New Roman" w:eastAsia="Times New Roman" w:hAnsi="Times New Roman" w:cs="Times New Roman"/>
      <w:b/>
      <w:bCs/>
      <w:noProof/>
      <w:sz w:val="28"/>
      <w:szCs w:val="33"/>
    </w:rPr>
  </w:style>
  <w:style w:type="paragraph" w:styleId="Subtitle">
    <w:name w:val="Subtitle"/>
    <w:basedOn w:val="Normal"/>
    <w:next w:val="Normal"/>
    <w:link w:val="SubtitleChar"/>
    <w:uiPriority w:val="11"/>
    <w:qFormat/>
    <w:rsid w:val="0021257D"/>
    <w:pPr>
      <w:spacing w:after="0" w:line="240" w:lineRule="auto"/>
    </w:pPr>
    <w:rPr>
      <w:rFonts w:ascii="Cambria" w:eastAsia="SimSun" w:hAnsi="Cambria" w:cs="Times New Roman"/>
      <w:i/>
      <w:iCs/>
      <w:color w:val="4F81BD"/>
      <w:spacing w:val="15"/>
      <w:sz w:val="20"/>
      <w:szCs w:val="20"/>
    </w:rPr>
  </w:style>
  <w:style w:type="character" w:customStyle="1" w:styleId="SubtitleChar">
    <w:name w:val="Subtitle Char"/>
    <w:basedOn w:val="DefaultParagraphFont"/>
    <w:link w:val="Subtitle"/>
    <w:uiPriority w:val="11"/>
    <w:rsid w:val="0021257D"/>
    <w:rPr>
      <w:rFonts w:ascii="Cambria" w:eastAsia="SimSun" w:hAnsi="Cambria" w:cs="Times New Roman"/>
      <w:i/>
      <w:iCs/>
      <w:color w:val="4F81BD"/>
      <w:spacing w:val="15"/>
      <w:sz w:val="20"/>
      <w:szCs w:val="20"/>
    </w:rPr>
  </w:style>
  <w:style w:type="paragraph" w:styleId="BodyText2">
    <w:name w:val="Body Text 2"/>
    <w:basedOn w:val="Normal"/>
    <w:link w:val="BodyText2Char"/>
    <w:uiPriority w:val="99"/>
    <w:unhideWhenUsed/>
    <w:rsid w:val="0021257D"/>
    <w:pPr>
      <w:bidi/>
      <w:spacing w:after="120" w:line="480" w:lineRule="auto"/>
    </w:pPr>
    <w:rPr>
      <w:rFonts w:ascii="Times New Roman" w:eastAsia="Times New Roman" w:hAnsi="Times New Roman" w:cs="Times New Roman"/>
      <w:sz w:val="24"/>
      <w:szCs w:val="24"/>
      <w:lang w:eastAsia="ar-SA"/>
    </w:rPr>
  </w:style>
  <w:style w:type="character" w:customStyle="1" w:styleId="BodyText2Char">
    <w:name w:val="Body Text 2 Char"/>
    <w:basedOn w:val="DefaultParagraphFont"/>
    <w:link w:val="BodyText2"/>
    <w:uiPriority w:val="99"/>
    <w:rsid w:val="0021257D"/>
    <w:rPr>
      <w:rFonts w:ascii="Times New Roman" w:eastAsia="Times New Roman" w:hAnsi="Times New Roman" w:cs="Times New Roman"/>
      <w:sz w:val="24"/>
      <w:szCs w:val="24"/>
      <w:lang w:eastAsia="ar-SA"/>
    </w:rPr>
  </w:style>
  <w:style w:type="paragraph" w:styleId="BlockText">
    <w:name w:val="Block Text"/>
    <w:basedOn w:val="Normal"/>
    <w:unhideWhenUsed/>
    <w:rsid w:val="0021257D"/>
    <w:pPr>
      <w:bidi/>
      <w:spacing w:after="0" w:line="240" w:lineRule="auto"/>
      <w:ind w:left="1440" w:right="1440"/>
    </w:pPr>
    <w:rPr>
      <w:rFonts w:ascii="Times New Roman" w:eastAsia="Times New Roman" w:hAnsi="Times New Roman" w:cs="Traditional Arabic"/>
      <w:sz w:val="20"/>
      <w:szCs w:val="28"/>
    </w:rPr>
  </w:style>
  <w:style w:type="paragraph" w:styleId="DocumentMap">
    <w:name w:val="Document Map"/>
    <w:basedOn w:val="Normal"/>
    <w:link w:val="DocumentMapChar"/>
    <w:uiPriority w:val="99"/>
    <w:unhideWhenUsed/>
    <w:rsid w:val="0021257D"/>
    <w:pPr>
      <w:shd w:val="clear" w:color="auto" w:fill="000080"/>
      <w:spacing w:after="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uiPriority w:val="99"/>
    <w:rsid w:val="0021257D"/>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unhideWhenUsed/>
    <w:rsid w:val="0021257D"/>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21257D"/>
    <w:rPr>
      <w:rFonts w:ascii="Courier New" w:eastAsia="Times New Roman" w:hAnsi="Courier New" w:cs="Times New Roman"/>
      <w:sz w:val="20"/>
      <w:szCs w:val="20"/>
    </w:rPr>
  </w:style>
  <w:style w:type="paragraph" w:styleId="CommentSubject">
    <w:name w:val="annotation subject"/>
    <w:basedOn w:val="CommentText"/>
    <w:next w:val="CommentText"/>
    <w:link w:val="CommentSubjectChar"/>
    <w:uiPriority w:val="99"/>
    <w:semiHidden/>
    <w:unhideWhenUsed/>
    <w:rsid w:val="0021257D"/>
    <w:rPr>
      <w:b/>
      <w:bCs/>
    </w:rPr>
  </w:style>
  <w:style w:type="character" w:customStyle="1" w:styleId="CommentSubjectChar">
    <w:name w:val="Comment Subject Char"/>
    <w:basedOn w:val="CommentTextChar"/>
    <w:link w:val="CommentSubject"/>
    <w:uiPriority w:val="99"/>
    <w:semiHidden/>
    <w:rsid w:val="0021257D"/>
    <w:rPr>
      <w:rFonts w:ascii="Times New Roman" w:eastAsia="Times New Roman" w:hAnsi="Times New Roman" w:cs="Times New Roman"/>
      <w:b/>
      <w:bCs/>
      <w:sz w:val="20"/>
      <w:szCs w:val="20"/>
    </w:rPr>
  </w:style>
  <w:style w:type="character" w:customStyle="1" w:styleId="NoSpacingChar">
    <w:name w:val="No Spacing Char"/>
    <w:link w:val="NoSpacing"/>
    <w:uiPriority w:val="1"/>
    <w:locked/>
    <w:rsid w:val="0021257D"/>
    <w:rPr>
      <w:rFonts w:ascii="Calibri" w:eastAsia="Times New Roman" w:hAnsi="Calibri" w:cs="Times New Roman"/>
      <w:szCs w:val="20"/>
    </w:rPr>
  </w:style>
  <w:style w:type="paragraph" w:styleId="NoSpacing">
    <w:name w:val="No Spacing"/>
    <w:link w:val="NoSpacingChar"/>
    <w:uiPriority w:val="1"/>
    <w:qFormat/>
    <w:rsid w:val="0021257D"/>
    <w:pPr>
      <w:spacing w:after="0" w:line="240" w:lineRule="auto"/>
    </w:pPr>
    <w:rPr>
      <w:rFonts w:ascii="Calibri" w:eastAsia="Times New Roman" w:hAnsi="Calibri" w:cs="Times New Roman"/>
      <w:szCs w:val="20"/>
    </w:rPr>
  </w:style>
  <w:style w:type="paragraph" w:styleId="Revision">
    <w:name w:val="Revision"/>
    <w:uiPriority w:val="99"/>
    <w:semiHidden/>
    <w:rsid w:val="0021257D"/>
    <w:pPr>
      <w:spacing w:after="0" w:line="240" w:lineRule="auto"/>
    </w:pPr>
    <w:rPr>
      <w:rFonts w:ascii="Times New Roman" w:eastAsia="Times New Roman" w:hAnsi="Times New Roman" w:cs="Times New Roman"/>
      <w:sz w:val="24"/>
      <w:szCs w:val="24"/>
      <w:lang w:eastAsia="ar-SA"/>
    </w:rPr>
  </w:style>
  <w:style w:type="paragraph" w:customStyle="1" w:styleId="1">
    <w:name w:val="جدول الرسوم التوضيحية1"/>
    <w:basedOn w:val="Normal"/>
    <w:next w:val="Normal"/>
    <w:uiPriority w:val="99"/>
    <w:semiHidden/>
    <w:rsid w:val="0021257D"/>
    <w:pPr>
      <w:spacing w:after="0" w:line="240" w:lineRule="auto"/>
      <w:ind w:left="440" w:hanging="440"/>
    </w:pPr>
    <w:rPr>
      <w:rFonts w:ascii="Times New Roman" w:eastAsia="Times New Roman" w:hAnsi="Times New Roman" w:cs="Times New Roman"/>
      <w:szCs w:val="20"/>
    </w:rPr>
  </w:style>
  <w:style w:type="character" w:customStyle="1" w:styleId="Char1">
    <w:name w:val="تذييل الصفحة Char1"/>
    <w:link w:val="10"/>
    <w:uiPriority w:val="99"/>
    <w:locked/>
    <w:rsid w:val="0021257D"/>
    <w:rPr>
      <w:rFonts w:ascii="Times New Roman" w:eastAsia="Times New Roman" w:hAnsi="Times New Roman" w:cs="Times New Roman"/>
      <w:szCs w:val="20"/>
      <w:lang w:eastAsia="ar-SA"/>
    </w:rPr>
  </w:style>
  <w:style w:type="paragraph" w:customStyle="1" w:styleId="10">
    <w:name w:val="تذييل الصفحة1"/>
    <w:basedOn w:val="Normal"/>
    <w:link w:val="Char1"/>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xl26">
    <w:name w:val="xl26"/>
    <w:basedOn w:val="Normal"/>
    <w:rsid w:val="0021257D"/>
    <w:pPr>
      <w:spacing w:before="100" w:beforeAutospacing="1" w:after="100" w:afterAutospacing="1" w:line="240" w:lineRule="auto"/>
    </w:pPr>
    <w:rPr>
      <w:rFonts w:ascii="Times New Roman" w:eastAsia="Times New Roman" w:hAnsi="Times New Roman" w:cs="Times New Roman"/>
    </w:rPr>
  </w:style>
  <w:style w:type="paragraph" w:customStyle="1" w:styleId="xl28">
    <w:name w:val="xl28"/>
    <w:basedOn w:val="Normal"/>
    <w:rsid w:val="0021257D"/>
    <w:pPr>
      <w:spacing w:before="100" w:beforeAutospacing="1" w:after="100" w:afterAutospacing="1" w:line="240" w:lineRule="auto"/>
      <w:jc w:val="right"/>
    </w:pPr>
    <w:rPr>
      <w:rFonts w:ascii="Arial" w:eastAsia="Times New Roman" w:hAnsi="Arial" w:cs="Arial"/>
      <w:sz w:val="24"/>
      <w:szCs w:val="24"/>
    </w:rPr>
  </w:style>
  <w:style w:type="character" w:customStyle="1" w:styleId="Char">
    <w:name w:val="رأس الصفحة Char"/>
    <w:link w:val="11"/>
    <w:uiPriority w:val="99"/>
    <w:locked/>
    <w:rsid w:val="0021257D"/>
    <w:rPr>
      <w:rFonts w:ascii="Times New Roman" w:eastAsia="Times New Roman" w:hAnsi="Times New Roman" w:cs="Times New Roman"/>
      <w:szCs w:val="20"/>
      <w:lang w:eastAsia="ar-SA"/>
    </w:rPr>
  </w:style>
  <w:style w:type="paragraph" w:customStyle="1" w:styleId="11">
    <w:name w:val="رأس الصفحة1"/>
    <w:basedOn w:val="Normal"/>
    <w:link w:val="Char"/>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TL">
    <w:name w:val="TL"/>
    <w:rsid w:val="0021257D"/>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spacing w:after="0" w:line="240" w:lineRule="auto"/>
    </w:pPr>
    <w:rPr>
      <w:rFonts w:ascii="Times New Roman" w:eastAsia="Times New Roman" w:hAnsi="Times New Roman" w:cs="Times New Roman"/>
      <w:sz w:val="24"/>
      <w:szCs w:val="20"/>
    </w:rPr>
  </w:style>
  <w:style w:type="paragraph" w:customStyle="1" w:styleId="DecimalAligned">
    <w:name w:val="Decimal Aligned"/>
    <w:basedOn w:val="Normal"/>
    <w:uiPriority w:val="40"/>
    <w:qFormat/>
    <w:rsid w:val="0021257D"/>
    <w:pPr>
      <w:tabs>
        <w:tab w:val="decimal" w:pos="360"/>
      </w:tabs>
    </w:pPr>
    <w:rPr>
      <w:rFonts w:ascii="Calibri" w:eastAsia="Times New Roman" w:hAnsi="Calibri" w:cs="Times New Roman"/>
    </w:rPr>
  </w:style>
  <w:style w:type="character" w:customStyle="1" w:styleId="Char0">
    <w:name w:val="تذييل الصفحة Char"/>
    <w:link w:val="Style"/>
    <w:uiPriority w:val="99"/>
    <w:locked/>
    <w:rsid w:val="0021257D"/>
    <w:rPr>
      <w:rFonts w:ascii="Times New Roman" w:eastAsia="SimSun" w:hAnsi="Times New Roman" w:cs="Times New Roman"/>
      <w:sz w:val="20"/>
      <w:szCs w:val="20"/>
      <w:lang w:eastAsia="ar-SA"/>
    </w:rPr>
  </w:style>
  <w:style w:type="paragraph" w:customStyle="1" w:styleId="Style">
    <w:name w:val="Style"/>
    <w:basedOn w:val="Normal"/>
    <w:next w:val="11"/>
    <w:link w:val="Char0"/>
    <w:uiPriority w:val="99"/>
    <w:rsid w:val="0021257D"/>
    <w:pPr>
      <w:tabs>
        <w:tab w:val="center" w:pos="4153"/>
        <w:tab w:val="right" w:pos="8306"/>
      </w:tabs>
      <w:spacing w:after="0" w:line="240" w:lineRule="auto"/>
    </w:pPr>
    <w:rPr>
      <w:rFonts w:ascii="Times New Roman" w:eastAsia="SimSun" w:hAnsi="Times New Roman" w:cs="Times New Roman"/>
      <w:sz w:val="20"/>
      <w:szCs w:val="20"/>
      <w:lang w:eastAsia="ar-SA"/>
    </w:rPr>
  </w:style>
  <w:style w:type="paragraph" w:customStyle="1" w:styleId="12">
    <w:name w:val="سرد الفقرات1"/>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13">
    <w:name w:val="بلا تباعد1"/>
    <w:basedOn w:val="Normal"/>
    <w:qFormat/>
    <w:rsid w:val="0021257D"/>
    <w:pPr>
      <w:spacing w:after="0" w:line="240" w:lineRule="auto"/>
    </w:pPr>
    <w:rPr>
      <w:rFonts w:ascii="Times New Roman" w:eastAsia="SimSun" w:hAnsi="Times New Roman" w:cs="Arabic Transparent"/>
      <w:sz w:val="20"/>
      <w:szCs w:val="20"/>
    </w:rPr>
  </w:style>
  <w:style w:type="paragraph" w:customStyle="1" w:styleId="14">
    <w:name w:val="اقتباس1"/>
    <w:basedOn w:val="Normal"/>
    <w:next w:val="Normal"/>
    <w:qFormat/>
    <w:rsid w:val="0021257D"/>
    <w:pPr>
      <w:spacing w:after="0" w:line="240" w:lineRule="auto"/>
    </w:pPr>
    <w:rPr>
      <w:rFonts w:ascii="Times New Roman" w:eastAsia="SimSun" w:hAnsi="Times New Roman" w:cs="Arabic Transparent"/>
      <w:i/>
      <w:iCs/>
      <w:color w:val="000000"/>
      <w:sz w:val="20"/>
      <w:szCs w:val="20"/>
    </w:rPr>
  </w:style>
  <w:style w:type="paragraph" w:customStyle="1" w:styleId="15">
    <w:name w:val="اقتباس مكثف1"/>
    <w:basedOn w:val="Normal"/>
    <w:next w:val="Normal"/>
    <w:qFormat/>
    <w:rsid w:val="0021257D"/>
    <w:pPr>
      <w:pBdr>
        <w:bottom w:val="single" w:sz="4" w:space="4" w:color="4F81BD"/>
      </w:pBdr>
      <w:spacing w:before="200" w:after="280" w:line="240" w:lineRule="auto"/>
      <w:ind w:left="936" w:right="936"/>
    </w:pPr>
    <w:rPr>
      <w:rFonts w:ascii="Times New Roman" w:eastAsia="SimSun" w:hAnsi="Times New Roman" w:cs="Arabic Transparent"/>
      <w:b/>
      <w:bCs/>
      <w:i/>
      <w:iCs/>
      <w:color w:val="4F81BD"/>
      <w:sz w:val="20"/>
      <w:szCs w:val="20"/>
    </w:rPr>
  </w:style>
  <w:style w:type="paragraph" w:customStyle="1" w:styleId="16">
    <w:name w:val="عنوان جدول المحتويات1"/>
    <w:basedOn w:val="Heading1"/>
    <w:next w:val="Normal"/>
    <w:qFormat/>
    <w:rsid w:val="0021257D"/>
    <w:pPr>
      <w:jc w:val="right"/>
      <w:outlineLvl w:val="9"/>
    </w:pPr>
    <w:rPr>
      <w:rFonts w:ascii="Cambria" w:eastAsia="SimSun" w:hAnsi="Cambria" w:cs="Times New Roman"/>
      <w:color w:val="365F91"/>
      <w:sz w:val="32"/>
      <w:szCs w:val="32"/>
    </w:rPr>
  </w:style>
  <w:style w:type="character" w:customStyle="1" w:styleId="modulenameCharChar">
    <w:name w:val="module name Char Char"/>
    <w:link w:val="modulenameChar"/>
    <w:locked/>
    <w:rsid w:val="0021257D"/>
    <w:rPr>
      <w:rFonts w:ascii="Times New Roman" w:eastAsia="SimSun" w:hAnsi="Times New Roman" w:cs="Times New Roman"/>
      <w:b/>
      <w:caps/>
      <w:sz w:val="24"/>
      <w:szCs w:val="20"/>
      <w:lang w:eastAsia="ar-SA"/>
    </w:rPr>
  </w:style>
  <w:style w:type="paragraph" w:customStyle="1" w:styleId="modulenameChar">
    <w:name w:val="module name Char"/>
    <w:basedOn w:val="Normal"/>
    <w:link w:val="modulenameCharChar"/>
    <w:rsid w:val="0021257D"/>
    <w:pPr>
      <w:spacing w:after="0" w:line="240" w:lineRule="auto"/>
    </w:pPr>
    <w:rPr>
      <w:rFonts w:ascii="Times New Roman" w:eastAsia="SimSun" w:hAnsi="Times New Roman" w:cs="Times New Roman"/>
      <w:b/>
      <w:caps/>
      <w:sz w:val="24"/>
      <w:szCs w:val="20"/>
      <w:lang w:eastAsia="ar-SA"/>
    </w:rPr>
  </w:style>
  <w:style w:type="character" w:customStyle="1" w:styleId="1IntvwqstCharCharCharCharChar">
    <w:name w:val="1. Intvw qst Char Char Char Char Char"/>
    <w:link w:val="1IntvwqstCharCharCharChar"/>
    <w:locked/>
    <w:rsid w:val="0021257D"/>
    <w:rPr>
      <w:rFonts w:ascii="Arial" w:eastAsia="SimSun" w:hAnsi="Arial" w:cs="Times New Roman"/>
      <w:smallCaps/>
      <w:sz w:val="24"/>
      <w:szCs w:val="20"/>
      <w:lang w:eastAsia="ar-SA"/>
    </w:rPr>
  </w:style>
  <w:style w:type="paragraph" w:customStyle="1" w:styleId="1IntvwqstCharCharCharChar">
    <w:name w:val="1. Intvw qst Char Char Char Char"/>
    <w:basedOn w:val="Normal"/>
    <w:link w:val="1IntvwqstCharChar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ResponsecategsCharCharChar">
    <w:name w:val="Response categs..... Char Char Char"/>
    <w:link w:val="ResponsecategsCharChar"/>
    <w:locked/>
    <w:rsid w:val="0021257D"/>
    <w:rPr>
      <w:rFonts w:ascii="Arial" w:eastAsia="SimSun" w:hAnsi="Arial" w:cs="Times New Roman"/>
      <w:sz w:val="24"/>
      <w:szCs w:val="20"/>
      <w:lang w:eastAsia="ar-SA"/>
    </w:rPr>
  </w:style>
  <w:style w:type="paragraph" w:customStyle="1" w:styleId="ResponsecategsCharChar">
    <w:name w:val="Response categs..... Char Char"/>
    <w:basedOn w:val="Normal"/>
    <w:link w:val="ResponsecategsCharCharChar"/>
    <w:rsid w:val="0021257D"/>
    <w:pPr>
      <w:tabs>
        <w:tab w:val="right" w:leader="dot" w:pos="3942"/>
      </w:tabs>
      <w:spacing w:after="0" w:line="240" w:lineRule="auto"/>
      <w:ind w:left="216" w:hanging="216"/>
    </w:pPr>
    <w:rPr>
      <w:rFonts w:ascii="Arial" w:eastAsia="SimSun" w:hAnsi="Arial" w:cs="Times New Roman"/>
      <w:sz w:val="24"/>
      <w:szCs w:val="20"/>
      <w:lang w:eastAsia="ar-SA"/>
    </w:rPr>
  </w:style>
  <w:style w:type="character" w:customStyle="1" w:styleId="ClusternoCharChar">
    <w:name w:val="Cluster no. Char Char"/>
    <w:link w:val="ClusternoChar"/>
    <w:locked/>
    <w:rsid w:val="0021257D"/>
    <w:rPr>
      <w:rFonts w:ascii="Times New Roman" w:eastAsia="SimSun" w:hAnsi="Times New Roman" w:cs="Times New Roman"/>
      <w:b/>
      <w:sz w:val="24"/>
      <w:szCs w:val="20"/>
      <w:lang w:eastAsia="ar-SA"/>
    </w:rPr>
  </w:style>
  <w:style w:type="paragraph" w:customStyle="1" w:styleId="ClusternoChar">
    <w:name w:val="Cluster no. Char"/>
    <w:basedOn w:val="Normal"/>
    <w:link w:val="ClusternoCharChar"/>
    <w:rsid w:val="0021257D"/>
    <w:pPr>
      <w:spacing w:after="0" w:line="240" w:lineRule="auto"/>
      <w:jc w:val="right"/>
    </w:pPr>
    <w:rPr>
      <w:rFonts w:ascii="Times New Roman" w:eastAsia="SimSun" w:hAnsi="Times New Roman" w:cs="Times New Roman"/>
      <w:b/>
      <w:sz w:val="24"/>
      <w:szCs w:val="20"/>
      <w:lang w:eastAsia="ar-SA"/>
    </w:rPr>
  </w:style>
  <w:style w:type="character" w:customStyle="1" w:styleId="InstructionstointvwCharCharCharCharChar">
    <w:name w:val="Instructions to intvw Char Char Char Char Char"/>
    <w:link w:val="InstructionstointvwCharCharCharChar"/>
    <w:locked/>
    <w:rsid w:val="0021257D"/>
    <w:rPr>
      <w:rFonts w:ascii="Times New Roman" w:eastAsia="SimSun" w:hAnsi="Times New Roman" w:cs="Times New Roman"/>
      <w:b/>
      <w:i/>
      <w:caps/>
      <w:sz w:val="24"/>
      <w:szCs w:val="20"/>
      <w:lang w:eastAsia="ar-SA"/>
    </w:rPr>
  </w:style>
  <w:style w:type="paragraph" w:customStyle="1" w:styleId="InstructionstointvwCharCharCharChar">
    <w:name w:val="Instructions to intvw Char Char Char Char"/>
    <w:basedOn w:val="modulenameChar"/>
    <w:link w:val="InstructionstointvwCharCharCharCharChar"/>
    <w:rsid w:val="0021257D"/>
    <w:rPr>
      <w:i/>
    </w:rPr>
  </w:style>
  <w:style w:type="paragraph" w:customStyle="1" w:styleId="GOTONEXTMODULE">
    <w:name w:val="GO TO NEXT MODULE"/>
    <w:basedOn w:val="1IntvwqstCharCharCharChar"/>
    <w:rsid w:val="0021257D"/>
    <w:rPr>
      <w:rFonts w:ascii="Times New Roman" w:hAnsi="Times New Roman"/>
      <w:b/>
      <w:caps/>
      <w:smallCaps w:val="0"/>
      <w:sz w:val="21"/>
    </w:rPr>
  </w:style>
  <w:style w:type="character" w:customStyle="1" w:styleId="adaptationnoteCharChar">
    <w:name w:val="adaptation note Char Char"/>
    <w:link w:val="adaptationnoteChar"/>
    <w:locked/>
    <w:rsid w:val="0021257D"/>
    <w:rPr>
      <w:rFonts w:ascii="Arial" w:eastAsia="SimSun" w:hAnsi="Arial" w:cs="Times New Roman"/>
      <w:b/>
      <w:i/>
      <w:sz w:val="24"/>
      <w:szCs w:val="20"/>
      <w:lang w:eastAsia="ar-SA"/>
    </w:rPr>
  </w:style>
  <w:style w:type="paragraph" w:customStyle="1" w:styleId="adaptationnoteChar">
    <w:name w:val="adaptation note Char"/>
    <w:basedOn w:val="Normal"/>
    <w:link w:val="adaptationnoteCharChar"/>
    <w:rsid w:val="0021257D"/>
    <w:pPr>
      <w:spacing w:after="0" w:line="240" w:lineRule="auto"/>
    </w:pPr>
    <w:rPr>
      <w:rFonts w:ascii="Arial" w:eastAsia="SimSun" w:hAnsi="Arial" w:cs="Times New Roman"/>
      <w:b/>
      <w:i/>
      <w:sz w:val="24"/>
      <w:szCs w:val="20"/>
      <w:lang w:eastAsia="ar-SA"/>
    </w:rPr>
  </w:style>
  <w:style w:type="character" w:customStyle="1" w:styleId="OtherspecifyCharChar">
    <w:name w:val="Other(specify)______ Char Char"/>
    <w:link w:val="OtherspecifyChar"/>
    <w:locked/>
    <w:rsid w:val="0021257D"/>
    <w:rPr>
      <w:rFonts w:ascii="Arial" w:eastAsia="SimSun" w:hAnsi="Arial" w:cs="Times New Roman"/>
      <w:b/>
      <w:sz w:val="24"/>
      <w:szCs w:val="20"/>
      <w:lang w:eastAsia="ar-SA"/>
    </w:rPr>
  </w:style>
  <w:style w:type="paragraph" w:customStyle="1" w:styleId="OtherspecifyChar">
    <w:name w:val="Other(specify)______ Char"/>
    <w:basedOn w:val="ClusternoChar"/>
    <w:link w:val="OtherspecifyCharChar"/>
    <w:rsid w:val="0021257D"/>
    <w:pPr>
      <w:tabs>
        <w:tab w:val="right" w:leader="underscore" w:pos="3946"/>
      </w:tabs>
      <w:ind w:left="216" w:hanging="216"/>
      <w:jc w:val="left"/>
    </w:pPr>
    <w:rPr>
      <w:rFonts w:ascii="Arial" w:hAnsi="Arial"/>
    </w:rPr>
  </w:style>
  <w:style w:type="paragraph" w:customStyle="1" w:styleId="skipcolumn">
    <w:name w:val="skip column"/>
    <w:basedOn w:val="Normal"/>
    <w:rsid w:val="0021257D"/>
    <w:pPr>
      <w:spacing w:after="0" w:line="240" w:lineRule="auto"/>
    </w:pPr>
    <w:rPr>
      <w:rFonts w:ascii="Arial" w:eastAsia="Times New Roman" w:hAnsi="Arial" w:cs="Times New Roman"/>
      <w:smallCaps/>
      <w:sz w:val="20"/>
      <w:szCs w:val="20"/>
    </w:rPr>
  </w:style>
  <w:style w:type="paragraph" w:customStyle="1" w:styleId="questionnairename">
    <w:name w:val="questionnaire name"/>
    <w:basedOn w:val="modulenameChar"/>
    <w:rsid w:val="0021257D"/>
    <w:pPr>
      <w:jc w:val="center"/>
    </w:pPr>
    <w:rPr>
      <w:sz w:val="28"/>
    </w:rPr>
  </w:style>
  <w:style w:type="character" w:customStyle="1" w:styleId="InstructionstointvwChar4">
    <w:name w:val="Instructions to intvw Char4"/>
    <w:link w:val="Instructionstointvw"/>
    <w:locked/>
    <w:rsid w:val="0021257D"/>
    <w:rPr>
      <w:i/>
      <w:sz w:val="24"/>
    </w:rPr>
  </w:style>
  <w:style w:type="paragraph" w:customStyle="1" w:styleId="Instructionstointvw">
    <w:name w:val="Instructions to intvw"/>
    <w:basedOn w:val="Normal"/>
    <w:link w:val="InstructionstointvwChar4"/>
    <w:rsid w:val="0021257D"/>
    <w:pPr>
      <w:spacing w:after="0" w:line="240" w:lineRule="auto"/>
    </w:pPr>
    <w:rPr>
      <w:i/>
      <w:sz w:val="24"/>
    </w:rPr>
  </w:style>
  <w:style w:type="character" w:customStyle="1" w:styleId="InstructionstointvwCharCharChar">
    <w:name w:val="Instructions to intvw Char Char Char"/>
    <w:link w:val="InstructionstointvwCharChar"/>
    <w:locked/>
    <w:rsid w:val="0021257D"/>
    <w:rPr>
      <w:rFonts w:ascii="Times New Roman" w:eastAsia="SimSun" w:hAnsi="Times New Roman" w:cs="Times New Roman"/>
      <w:i/>
      <w:sz w:val="24"/>
      <w:szCs w:val="20"/>
      <w:lang w:eastAsia="ar-SA"/>
    </w:rPr>
  </w:style>
  <w:style w:type="paragraph" w:customStyle="1" w:styleId="InstructionstointvwCharChar">
    <w:name w:val="Instructions to intvw Char Char"/>
    <w:basedOn w:val="Normal"/>
    <w:link w:val="InstructionstointvwCharCharChar"/>
    <w:rsid w:val="0021257D"/>
    <w:pPr>
      <w:spacing w:after="0" w:line="240" w:lineRule="auto"/>
    </w:pPr>
    <w:rPr>
      <w:rFonts w:ascii="Times New Roman" w:eastAsia="SimSun" w:hAnsi="Times New Roman" w:cs="Times New Roman"/>
      <w:i/>
      <w:sz w:val="24"/>
      <w:szCs w:val="20"/>
      <w:lang w:eastAsia="ar-SA"/>
    </w:rPr>
  </w:style>
  <w:style w:type="character" w:customStyle="1" w:styleId="1IntvwqstChar1CharChar">
    <w:name w:val="1. Intvw qst Char1 Char Char"/>
    <w:link w:val="1IntvwqstChar1Char"/>
    <w:locked/>
    <w:rsid w:val="0021257D"/>
    <w:rPr>
      <w:rFonts w:ascii="Arial" w:eastAsia="SimSun" w:hAnsi="Arial" w:cs="Times New Roman"/>
      <w:smallCaps/>
      <w:sz w:val="24"/>
      <w:szCs w:val="20"/>
      <w:lang w:eastAsia="ar-SA"/>
    </w:rPr>
  </w:style>
  <w:style w:type="paragraph" w:customStyle="1" w:styleId="1IntvwqstChar1Char">
    <w:name w:val="1. Intvw qst Char1 Char"/>
    <w:basedOn w:val="Normal"/>
    <w:link w:val="1IntvwqstChar1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1IntvwqstCharCharChar">
    <w:name w:val="1. Intvw qst Char Char Char"/>
    <w:link w:val="1IntvwqstCharChar"/>
    <w:locked/>
    <w:rsid w:val="0021257D"/>
    <w:rPr>
      <w:rFonts w:ascii="Arial" w:eastAsia="SimSun" w:hAnsi="Arial" w:cs="Times New Roman"/>
      <w:smallCaps/>
      <w:sz w:val="24"/>
      <w:szCs w:val="20"/>
      <w:lang w:eastAsia="ar-SA"/>
    </w:rPr>
  </w:style>
  <w:style w:type="paragraph" w:customStyle="1" w:styleId="1IntvwqstCharChar">
    <w:name w:val="1. Intvw qst Char Char"/>
    <w:basedOn w:val="Normal"/>
    <w:link w:val="1Intvwqst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InstructionstointvwCharChar1Char">
    <w:name w:val="Instructions to intvw Char Char1 Char"/>
    <w:link w:val="InstructionstointvwCharChar1"/>
    <w:locked/>
    <w:rsid w:val="0021257D"/>
    <w:rPr>
      <w:i/>
      <w:sz w:val="24"/>
    </w:rPr>
  </w:style>
  <w:style w:type="paragraph" w:customStyle="1" w:styleId="InstructionstointvwCharChar1">
    <w:name w:val="Instructions to intvw Char Char1"/>
    <w:basedOn w:val="Normal"/>
    <w:link w:val="InstructionstointvwCharChar1Char"/>
    <w:rsid w:val="0021257D"/>
    <w:pPr>
      <w:spacing w:after="0" w:line="240" w:lineRule="auto"/>
    </w:pPr>
    <w:rPr>
      <w:i/>
      <w:sz w:val="24"/>
    </w:rPr>
  </w:style>
  <w:style w:type="character" w:customStyle="1" w:styleId="IntvwinstructionsCharCharChar">
    <w:name w:val="Intvw instructions Char Char Char"/>
    <w:link w:val="IntvwinstructionsCharChar"/>
    <w:locked/>
    <w:rsid w:val="0021257D"/>
    <w:rPr>
      <w:rFonts w:ascii="Times New Roman" w:eastAsia="SimSun" w:hAnsi="Times New Roman" w:cs="Times New Roman"/>
      <w:i/>
      <w:sz w:val="24"/>
      <w:szCs w:val="20"/>
      <w:lang w:eastAsia="en-GB"/>
    </w:rPr>
  </w:style>
  <w:style w:type="paragraph" w:customStyle="1" w:styleId="IntvwinstructionsCharChar">
    <w:name w:val="Intvw instructions Char Char"/>
    <w:basedOn w:val="Normal"/>
    <w:link w:val="IntvwinstructionsCharCharChar"/>
    <w:rsid w:val="0021257D"/>
    <w:pPr>
      <w:spacing w:after="0" w:line="240" w:lineRule="auto"/>
    </w:pPr>
    <w:rPr>
      <w:rFonts w:ascii="Times New Roman" w:eastAsia="SimSun" w:hAnsi="Times New Roman" w:cs="Times New Roman"/>
      <w:i/>
      <w:sz w:val="24"/>
      <w:szCs w:val="20"/>
      <w:lang w:eastAsia="en-GB"/>
    </w:rPr>
  </w:style>
  <w:style w:type="paragraph" w:customStyle="1" w:styleId="InstructionstointvwChar">
    <w:name w:val="Instructions to intvw Char"/>
    <w:basedOn w:val="Normal"/>
    <w:rsid w:val="0021257D"/>
    <w:pPr>
      <w:spacing w:after="0" w:line="240" w:lineRule="auto"/>
    </w:pPr>
    <w:rPr>
      <w:rFonts w:ascii="Times New Roman" w:eastAsia="Times New Roman" w:hAnsi="Times New Roman" w:cs="Times New Roman"/>
      <w:i/>
      <w:sz w:val="20"/>
      <w:szCs w:val="20"/>
    </w:rPr>
  </w:style>
  <w:style w:type="character" w:customStyle="1" w:styleId="1IntvwqstChar">
    <w:name w:val="1. Intvw qst Char"/>
    <w:link w:val="1Intvwqst"/>
    <w:locked/>
    <w:rsid w:val="0021257D"/>
    <w:rPr>
      <w:rFonts w:ascii="Arial" w:eastAsia="SimSun" w:hAnsi="Arial" w:cs="Times New Roman"/>
      <w:smallCaps/>
      <w:sz w:val="24"/>
      <w:szCs w:val="20"/>
      <w:lang w:eastAsia="ar-SA"/>
    </w:rPr>
  </w:style>
  <w:style w:type="paragraph" w:customStyle="1" w:styleId="1Intvwqst">
    <w:name w:val="1. Intvw qst"/>
    <w:basedOn w:val="Normal"/>
    <w:link w:val="1IntvwqstChar"/>
    <w:rsid w:val="0021257D"/>
    <w:pPr>
      <w:spacing w:after="0" w:line="240" w:lineRule="auto"/>
      <w:ind w:left="360" w:hanging="360"/>
    </w:pPr>
    <w:rPr>
      <w:rFonts w:ascii="Arial" w:eastAsia="SimSun" w:hAnsi="Arial" w:cs="Times New Roman"/>
      <w:smallCaps/>
      <w:sz w:val="24"/>
      <w:szCs w:val="20"/>
      <w:lang w:eastAsia="ar-SA"/>
    </w:rPr>
  </w:style>
  <w:style w:type="paragraph" w:customStyle="1" w:styleId="Responsecategs">
    <w:name w:val="Response categs....."/>
    <w:basedOn w:val="Normal"/>
    <w:rsid w:val="0021257D"/>
    <w:pPr>
      <w:tabs>
        <w:tab w:val="right" w:leader="dot" w:pos="3942"/>
      </w:tabs>
      <w:spacing w:after="0" w:line="240" w:lineRule="auto"/>
      <w:ind w:left="216" w:hanging="216"/>
    </w:pPr>
    <w:rPr>
      <w:rFonts w:ascii="Arial" w:eastAsia="Times New Roman" w:hAnsi="Arial" w:cs="Times New Roman"/>
      <w:sz w:val="24"/>
      <w:szCs w:val="20"/>
    </w:rPr>
  </w:style>
  <w:style w:type="paragraph" w:customStyle="1" w:styleId="modulename">
    <w:name w:val="module name"/>
    <w:basedOn w:val="Normal"/>
    <w:rsid w:val="0021257D"/>
    <w:pPr>
      <w:spacing w:after="0" w:line="240" w:lineRule="auto"/>
    </w:pPr>
    <w:rPr>
      <w:rFonts w:ascii="Times New Roman" w:eastAsia="Times New Roman" w:hAnsi="Times New Roman" w:cs="Times New Roman"/>
      <w:b/>
      <w:caps/>
      <w:sz w:val="24"/>
      <w:szCs w:val="20"/>
    </w:rPr>
  </w:style>
  <w:style w:type="paragraph" w:customStyle="1" w:styleId="Otherspecify">
    <w:name w:val="Other(specify)______"/>
    <w:basedOn w:val="Normal"/>
    <w:rsid w:val="0021257D"/>
    <w:pPr>
      <w:tabs>
        <w:tab w:val="right" w:leader="underscore" w:pos="3946"/>
      </w:tabs>
      <w:spacing w:after="0" w:line="240" w:lineRule="auto"/>
      <w:ind w:left="216" w:hanging="216"/>
    </w:pPr>
    <w:rPr>
      <w:rFonts w:ascii="Arial" w:eastAsia="Times New Roman" w:hAnsi="Arial" w:cs="Times New Roman"/>
      <w:b/>
      <w:sz w:val="24"/>
      <w:szCs w:val="20"/>
    </w:rPr>
  </w:style>
  <w:style w:type="paragraph" w:customStyle="1" w:styleId="InstructionstointvwChar3">
    <w:name w:val="Instructions to intvw Char3"/>
    <w:basedOn w:val="Normal"/>
    <w:rsid w:val="0021257D"/>
    <w:pPr>
      <w:spacing w:after="0" w:line="240" w:lineRule="auto"/>
    </w:pPr>
    <w:rPr>
      <w:rFonts w:ascii="Times New Roman" w:eastAsia="Times New Roman" w:hAnsi="Times New Roman" w:cs="Times New Roman"/>
      <w:i/>
      <w:sz w:val="24"/>
      <w:szCs w:val="20"/>
    </w:rPr>
  </w:style>
  <w:style w:type="paragraph" w:customStyle="1" w:styleId="140">
    <w:name w:val="سرد الفقرات14"/>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ResponsecategsChar">
    <w:name w:val="Response categs..... Char"/>
    <w:basedOn w:val="Normal"/>
    <w:rsid w:val="0021257D"/>
    <w:pPr>
      <w:tabs>
        <w:tab w:val="right" w:leader="dot" w:pos="3942"/>
      </w:tabs>
      <w:spacing w:after="0" w:line="240" w:lineRule="auto"/>
      <w:ind w:left="216" w:hanging="216"/>
    </w:pPr>
    <w:rPr>
      <w:rFonts w:ascii="Arial" w:eastAsia="Times New Roman" w:hAnsi="Arial" w:cs="Times New Roman"/>
      <w:sz w:val="20"/>
      <w:szCs w:val="20"/>
      <w:lang w:val="en-GB"/>
    </w:rPr>
  </w:style>
  <w:style w:type="paragraph" w:customStyle="1" w:styleId="Clusterno">
    <w:name w:val="Cluster no."/>
    <w:basedOn w:val="Normal"/>
    <w:rsid w:val="0021257D"/>
    <w:pPr>
      <w:spacing w:after="0" w:line="240" w:lineRule="auto"/>
      <w:jc w:val="right"/>
    </w:pPr>
    <w:rPr>
      <w:rFonts w:ascii="Times New Roman" w:eastAsia="Times New Roman" w:hAnsi="Times New Roman" w:cs="Times New Roman"/>
      <w:b/>
      <w:sz w:val="24"/>
      <w:szCs w:val="20"/>
      <w:lang w:val="en-GB"/>
    </w:rPr>
  </w:style>
  <w:style w:type="paragraph" w:customStyle="1" w:styleId="adaptationnote">
    <w:name w:val="adaptation note"/>
    <w:basedOn w:val="Normal"/>
    <w:rsid w:val="0021257D"/>
    <w:pPr>
      <w:spacing w:after="0" w:line="240" w:lineRule="auto"/>
    </w:pPr>
    <w:rPr>
      <w:rFonts w:ascii="Arial" w:eastAsia="Times New Roman" w:hAnsi="Arial" w:cs="Times New Roman"/>
      <w:b/>
      <w:i/>
      <w:sz w:val="20"/>
      <w:szCs w:val="20"/>
      <w:lang w:val="en-GB"/>
    </w:rPr>
  </w:style>
  <w:style w:type="paragraph" w:customStyle="1" w:styleId="17">
    <w:name w:val="موضوع تعليق1"/>
    <w:basedOn w:val="CommentText"/>
    <w:next w:val="CommentText"/>
    <w:semiHidden/>
    <w:rsid w:val="0021257D"/>
    <w:rPr>
      <w:b/>
      <w:bCs/>
      <w:lang w:val="en-GB"/>
    </w:rPr>
  </w:style>
  <w:style w:type="paragraph" w:customStyle="1" w:styleId="18">
    <w:name w:val="نص في بالون1"/>
    <w:basedOn w:val="Normal"/>
    <w:semiHidden/>
    <w:rsid w:val="0021257D"/>
    <w:pPr>
      <w:spacing w:after="0" w:line="240" w:lineRule="auto"/>
    </w:pPr>
    <w:rPr>
      <w:rFonts w:ascii="Tahoma" w:eastAsia="Times New Roman" w:hAnsi="Tahoma" w:cs="Tahoma"/>
      <w:sz w:val="16"/>
      <w:szCs w:val="16"/>
      <w:lang w:val="en-GB"/>
    </w:rPr>
  </w:style>
  <w:style w:type="paragraph" w:customStyle="1" w:styleId="IntvwinstructionsChar">
    <w:name w:val="Intvw instructions Char"/>
    <w:basedOn w:val="Normal"/>
    <w:rsid w:val="0021257D"/>
    <w:pPr>
      <w:spacing w:after="0" w:line="240" w:lineRule="auto"/>
    </w:pPr>
    <w:rPr>
      <w:rFonts w:ascii="Times New Roman" w:eastAsia="Times New Roman" w:hAnsi="Times New Roman" w:cs="Times New Roman"/>
      <w:i/>
      <w:sz w:val="24"/>
      <w:szCs w:val="20"/>
      <w:lang w:val="en-GB" w:eastAsia="en-GB"/>
    </w:rPr>
  </w:style>
  <w:style w:type="character" w:customStyle="1" w:styleId="Char2">
    <w:name w:val="مخطط المستند Char"/>
    <w:link w:val="19"/>
    <w:locked/>
    <w:rsid w:val="0021257D"/>
    <w:rPr>
      <w:rFonts w:ascii="Tahoma" w:eastAsia="Times New Roman" w:hAnsi="Tahoma" w:cs="Times New Roman"/>
      <w:sz w:val="20"/>
      <w:szCs w:val="20"/>
      <w:shd w:val="clear" w:color="auto" w:fill="000080"/>
      <w:lang w:val="en-GB" w:eastAsia="ar-SA"/>
    </w:rPr>
  </w:style>
  <w:style w:type="paragraph" w:customStyle="1" w:styleId="19">
    <w:name w:val="مخطط المستند1"/>
    <w:basedOn w:val="Normal"/>
    <w:link w:val="Char2"/>
    <w:rsid w:val="0021257D"/>
    <w:pPr>
      <w:shd w:val="clear" w:color="auto" w:fill="000080"/>
      <w:spacing w:after="0" w:line="240" w:lineRule="auto"/>
    </w:pPr>
    <w:rPr>
      <w:rFonts w:ascii="Tahoma" w:eastAsia="Times New Roman" w:hAnsi="Tahoma" w:cs="Times New Roman"/>
      <w:sz w:val="20"/>
      <w:szCs w:val="20"/>
      <w:lang w:val="en-GB" w:eastAsia="ar-SA"/>
    </w:rPr>
  </w:style>
  <w:style w:type="paragraph" w:customStyle="1" w:styleId="130">
    <w:name w:val="سرد الفقرات13"/>
    <w:basedOn w:val="Normal"/>
    <w:qFormat/>
    <w:rsid w:val="0021257D"/>
    <w:pPr>
      <w:spacing w:after="0" w:line="240" w:lineRule="auto"/>
      <w:ind w:left="720"/>
    </w:pPr>
    <w:rPr>
      <w:rFonts w:ascii="Times New Roman" w:eastAsia="Times New Roman" w:hAnsi="Times New Roman" w:cs="Times New Roman"/>
      <w:sz w:val="24"/>
      <w:szCs w:val="20"/>
      <w:lang w:val="en-GB"/>
    </w:rPr>
  </w:style>
  <w:style w:type="paragraph" w:customStyle="1" w:styleId="120">
    <w:name w:val="سرد الفقرات12"/>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customStyle="1" w:styleId="Char10">
    <w:name w:val="رأس الصفحة Char1"/>
    <w:link w:val="2"/>
    <w:locked/>
    <w:rsid w:val="0021257D"/>
    <w:rPr>
      <w:rFonts w:ascii="Times New Roman" w:eastAsia="Times New Roman" w:hAnsi="Times New Roman" w:cs="Times New Roman"/>
      <w:szCs w:val="20"/>
      <w:lang w:eastAsia="ar-SA"/>
    </w:rPr>
  </w:style>
  <w:style w:type="paragraph" w:customStyle="1" w:styleId="2">
    <w:name w:val="رأس الصفحة2"/>
    <w:basedOn w:val="Normal"/>
    <w:link w:val="Char10"/>
    <w:rsid w:val="0021257D"/>
    <w:pPr>
      <w:tabs>
        <w:tab w:val="center" w:pos="4153"/>
        <w:tab w:val="right" w:pos="8306"/>
      </w:tabs>
      <w:spacing w:after="0" w:line="240" w:lineRule="auto"/>
    </w:pPr>
    <w:rPr>
      <w:rFonts w:ascii="Times New Roman" w:eastAsia="Times New Roman" w:hAnsi="Times New Roman" w:cs="Times New Roman"/>
      <w:szCs w:val="20"/>
      <w:lang w:eastAsia="ar-SA"/>
    </w:rPr>
  </w:style>
  <w:style w:type="paragraph" w:customStyle="1" w:styleId="20">
    <w:name w:val="موضوع تعليق2"/>
    <w:basedOn w:val="CommentText"/>
    <w:next w:val="CommentText"/>
    <w:semiHidden/>
    <w:rsid w:val="0021257D"/>
  </w:style>
  <w:style w:type="paragraph" w:customStyle="1" w:styleId="21">
    <w:name w:val="نص في بالون2"/>
    <w:basedOn w:val="Normal"/>
    <w:semiHidden/>
    <w:rsid w:val="0021257D"/>
    <w:pPr>
      <w:spacing w:after="0" w:line="240" w:lineRule="auto"/>
    </w:pPr>
    <w:rPr>
      <w:rFonts w:ascii="Tahoma" w:eastAsia="Times New Roman" w:hAnsi="Tahoma" w:cs="Tahoma"/>
      <w:sz w:val="16"/>
      <w:szCs w:val="16"/>
      <w:lang w:val="en-GB"/>
    </w:rPr>
  </w:style>
  <w:style w:type="paragraph" w:customStyle="1" w:styleId="110">
    <w:name w:val="سرد الفقرات11"/>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styleId="CommentReference">
    <w:name w:val="annotation reference"/>
    <w:basedOn w:val="DefaultParagraphFont"/>
    <w:uiPriority w:val="99"/>
    <w:semiHidden/>
    <w:unhideWhenUsed/>
    <w:rsid w:val="0021257D"/>
    <w:rPr>
      <w:sz w:val="16"/>
    </w:rPr>
  </w:style>
  <w:style w:type="character" w:styleId="PageNumber">
    <w:name w:val="page number"/>
    <w:basedOn w:val="DefaultParagraphFont"/>
    <w:uiPriority w:val="99"/>
    <w:unhideWhenUsed/>
    <w:rsid w:val="0021257D"/>
    <w:rPr>
      <w:rFonts w:ascii="Times New Roman" w:hAnsi="Times New Roman" w:cs="Times New Roman" w:hint="default"/>
    </w:rPr>
  </w:style>
  <w:style w:type="character" w:styleId="EndnoteReference">
    <w:name w:val="endnote reference"/>
    <w:basedOn w:val="DefaultParagraphFont"/>
    <w:uiPriority w:val="99"/>
    <w:unhideWhenUsed/>
    <w:rsid w:val="0021257D"/>
    <w:rPr>
      <w:vertAlign w:val="superscript"/>
    </w:rPr>
  </w:style>
  <w:style w:type="character" w:styleId="SubtleEmphasis">
    <w:name w:val="Subtle Emphasis"/>
    <w:basedOn w:val="DefaultParagraphFont"/>
    <w:uiPriority w:val="19"/>
    <w:qFormat/>
    <w:rsid w:val="0021257D"/>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21257D"/>
    <w:rPr>
      <w:b/>
      <w:bCs w:val="0"/>
      <w:smallCaps/>
      <w:spacing w:val="5"/>
    </w:rPr>
  </w:style>
  <w:style w:type="character" w:customStyle="1" w:styleId="1H">
    <w:name w:val="1H"/>
    <w:rsid w:val="0021257D"/>
    <w:rPr>
      <w:b/>
      <w:bCs w:val="0"/>
      <w:sz w:val="28"/>
    </w:rPr>
  </w:style>
  <w:style w:type="character" w:customStyle="1" w:styleId="1a">
    <w:name w:val="رقم الصفحة1"/>
    <w:rsid w:val="0021257D"/>
  </w:style>
  <w:style w:type="character" w:customStyle="1" w:styleId="2H">
    <w:name w:val="2H"/>
    <w:rsid w:val="0021257D"/>
    <w:rPr>
      <w:b/>
      <w:bCs w:val="0"/>
      <w:sz w:val="24"/>
    </w:rPr>
  </w:style>
  <w:style w:type="character" w:customStyle="1" w:styleId="BT">
    <w:name w:val="BT"/>
    <w:rsid w:val="0021257D"/>
    <w:rPr>
      <w:rFonts w:ascii="Univers" w:hAnsi="Univers" w:hint="default"/>
      <w:sz w:val="21"/>
    </w:rPr>
  </w:style>
  <w:style w:type="character" w:customStyle="1" w:styleId="Char3">
    <w:name w:val="Char"/>
    <w:rsid w:val="0021257D"/>
    <w:rPr>
      <w:sz w:val="24"/>
      <w:lang w:val="en-US" w:eastAsia="en-US"/>
    </w:rPr>
  </w:style>
  <w:style w:type="character" w:customStyle="1" w:styleId="QuoteChar">
    <w:name w:val="Quote Char"/>
    <w:rsid w:val="0021257D"/>
    <w:rPr>
      <w:i/>
      <w:iCs w:val="0"/>
      <w:color w:val="000000"/>
      <w:sz w:val="24"/>
      <w:lang w:val="en-US" w:eastAsia="en-US"/>
    </w:rPr>
  </w:style>
  <w:style w:type="character" w:customStyle="1" w:styleId="IntenseQuoteChar">
    <w:name w:val="Intense Quote Char"/>
    <w:rsid w:val="0021257D"/>
    <w:rPr>
      <w:b/>
      <w:bCs w:val="0"/>
      <w:i/>
      <w:iCs w:val="0"/>
      <w:color w:val="4F81BD"/>
      <w:sz w:val="24"/>
      <w:lang w:val="en-US" w:eastAsia="en-US"/>
    </w:rPr>
  </w:style>
  <w:style w:type="character" w:customStyle="1" w:styleId="1b">
    <w:name w:val="تأكيد دقيق1"/>
    <w:qFormat/>
    <w:rsid w:val="0021257D"/>
    <w:rPr>
      <w:i/>
      <w:iCs w:val="0"/>
      <w:color w:val="808080"/>
    </w:rPr>
  </w:style>
  <w:style w:type="character" w:customStyle="1" w:styleId="1c">
    <w:name w:val="تأكيد مكثف1"/>
    <w:qFormat/>
    <w:rsid w:val="0021257D"/>
    <w:rPr>
      <w:b/>
      <w:bCs w:val="0"/>
      <w:i/>
      <w:iCs w:val="0"/>
      <w:color w:val="4F81BD"/>
    </w:rPr>
  </w:style>
  <w:style w:type="character" w:customStyle="1" w:styleId="1d">
    <w:name w:val="مرجع دقيق1"/>
    <w:qFormat/>
    <w:rsid w:val="0021257D"/>
    <w:rPr>
      <w:smallCaps/>
      <w:color w:val="auto"/>
      <w:u w:val="single"/>
    </w:rPr>
  </w:style>
  <w:style w:type="character" w:customStyle="1" w:styleId="1e">
    <w:name w:val="مرجع مكثف1"/>
    <w:qFormat/>
    <w:rsid w:val="0021257D"/>
    <w:rPr>
      <w:b/>
      <w:bCs w:val="0"/>
      <w:smallCaps/>
      <w:color w:val="auto"/>
      <w:spacing w:val="5"/>
      <w:u w:val="single"/>
    </w:rPr>
  </w:style>
  <w:style w:type="character" w:customStyle="1" w:styleId="1f">
    <w:name w:val="عنوان الكتاب1"/>
    <w:qFormat/>
    <w:rsid w:val="0021257D"/>
    <w:rPr>
      <w:b/>
      <w:bCs w:val="0"/>
      <w:smallCaps/>
      <w:spacing w:val="5"/>
    </w:rPr>
  </w:style>
  <w:style w:type="character" w:customStyle="1" w:styleId="Instructionsinparens">
    <w:name w:val="Instructions in parens"/>
    <w:rsid w:val="0021257D"/>
    <w:rPr>
      <w:rFonts w:ascii="Times New Roman" w:hAnsi="Times New Roman" w:cs="Times New Roman" w:hint="default"/>
      <w:i/>
      <w:iCs w:val="0"/>
      <w:sz w:val="20"/>
    </w:rPr>
  </w:style>
  <w:style w:type="character" w:customStyle="1" w:styleId="InstructionstointvwChar2">
    <w:name w:val="Instructions to intvw Char2"/>
    <w:rsid w:val="0021257D"/>
    <w:rPr>
      <w:i/>
      <w:iCs w:val="0"/>
      <w:lang w:val="en-US" w:eastAsia="en-US"/>
    </w:rPr>
  </w:style>
  <w:style w:type="character" w:customStyle="1" w:styleId="1IntvwqstCharCharChar1">
    <w:name w:val="1. Intvw qst Char Char Char1"/>
    <w:rsid w:val="0021257D"/>
    <w:rPr>
      <w:rFonts w:ascii="Arial" w:hAnsi="Arial" w:cs="Arial" w:hint="default"/>
      <w:smallCaps/>
      <w:lang w:val="en-US" w:eastAsia="en-US"/>
    </w:rPr>
  </w:style>
  <w:style w:type="character" w:customStyle="1" w:styleId="1IntvwqstCharChar1">
    <w:name w:val="1. Intvw qst Char Char1"/>
    <w:rsid w:val="0021257D"/>
    <w:rPr>
      <w:rFonts w:ascii="Arial" w:hAnsi="Arial" w:cs="Arial" w:hint="default"/>
      <w:smallCaps/>
      <w:lang w:val="en-US" w:eastAsia="en-US"/>
    </w:rPr>
  </w:style>
  <w:style w:type="character" w:customStyle="1" w:styleId="InstructionstointvwChar1">
    <w:name w:val="Instructions to intvw Char1"/>
    <w:rsid w:val="0021257D"/>
    <w:rPr>
      <w:i/>
      <w:iCs w:val="0"/>
      <w:lang w:val="en-US" w:eastAsia="en-US"/>
    </w:rPr>
  </w:style>
  <w:style w:type="character" w:customStyle="1" w:styleId="II">
    <w:name w:val="II"/>
    <w:rsid w:val="0021257D"/>
    <w:rPr>
      <w:rFonts w:ascii="Times New Roman" w:hAnsi="Times New Roman" w:cs="Times New Roman" w:hint="default"/>
      <w:i/>
      <w:iCs w:val="0"/>
      <w:sz w:val="21"/>
    </w:rPr>
  </w:style>
  <w:style w:type="character" w:customStyle="1" w:styleId="1IntvwqstCharCharChar2">
    <w:name w:val="1. Intvw qst Char Char Char2"/>
    <w:rsid w:val="0021257D"/>
    <w:rPr>
      <w:rFonts w:ascii="Arial" w:hAnsi="Arial" w:cs="Arial" w:hint="default"/>
      <w:smallCaps/>
      <w:lang w:val="en-US" w:eastAsia="en-US"/>
    </w:rPr>
  </w:style>
  <w:style w:type="character" w:customStyle="1" w:styleId="InstructionstointvwChar4Char">
    <w:name w:val="Instructions to intvw Char4 Char"/>
    <w:rsid w:val="0021257D"/>
    <w:rPr>
      <w:i/>
      <w:iCs w:val="0"/>
      <w:lang w:val="en-US" w:eastAsia="en-US"/>
    </w:rPr>
  </w:style>
  <w:style w:type="character" w:customStyle="1" w:styleId="InstructionstointvwChar5">
    <w:name w:val="Instructions to intvw Char5"/>
    <w:rsid w:val="0021257D"/>
    <w:rPr>
      <w:i/>
      <w:iCs w:val="0"/>
      <w:sz w:val="24"/>
      <w:lang w:val="en-US" w:eastAsia="en-US"/>
    </w:rPr>
  </w:style>
  <w:style w:type="character" w:customStyle="1" w:styleId="1IntvwqstChar2">
    <w:name w:val="1. Intvw qst Char2"/>
    <w:rsid w:val="0021257D"/>
    <w:rPr>
      <w:rFonts w:ascii="Arial" w:hAnsi="Arial" w:cs="Arial" w:hint="default"/>
      <w:smallCaps/>
      <w:lang w:val="en-US" w:eastAsia="en-US"/>
    </w:rPr>
  </w:style>
  <w:style w:type="character" w:customStyle="1" w:styleId="InstructionstointvwCharCharChar1">
    <w:name w:val="Instructions to intvw Char Char Char1"/>
    <w:rsid w:val="0021257D"/>
    <w:rPr>
      <w:i/>
      <w:iCs w:val="0"/>
      <w:sz w:val="24"/>
      <w:lang w:val="en-US" w:eastAsia="en-US"/>
    </w:rPr>
  </w:style>
  <w:style w:type="character" w:customStyle="1" w:styleId="1IntvwqstCharCharCharChar1">
    <w:name w:val="1. Intvw qst Char Char Char Char1"/>
    <w:rsid w:val="0021257D"/>
    <w:rPr>
      <w:rFonts w:ascii="Arial" w:hAnsi="Arial" w:cs="Arial" w:hint="default"/>
      <w:smallCaps/>
      <w:lang w:val="en-US" w:eastAsia="en-US"/>
    </w:rPr>
  </w:style>
  <w:style w:type="character" w:customStyle="1" w:styleId="1IntvwqstCharCharChar3">
    <w:name w:val="1. Intvw qst Char Char Char3"/>
    <w:rsid w:val="0021257D"/>
    <w:rPr>
      <w:rFonts w:ascii="Arial" w:hAnsi="Arial" w:cs="Arial" w:hint="default"/>
      <w:smallCaps/>
      <w:lang w:val="en-US" w:eastAsia="en-US"/>
    </w:rPr>
  </w:style>
  <w:style w:type="character" w:customStyle="1" w:styleId="1IntvwqstChar1">
    <w:name w:val="1. Intvw qst Char1"/>
    <w:rsid w:val="0021257D"/>
    <w:rPr>
      <w:rFonts w:ascii="Arial" w:hAnsi="Arial" w:cs="Arial" w:hint="default"/>
      <w:smallCaps/>
      <w:lang w:val="en-US" w:eastAsia="en-US"/>
    </w:rPr>
  </w:style>
  <w:style w:type="character" w:customStyle="1" w:styleId="InstructionstointvwCharCharChar1Char">
    <w:name w:val="Instructions to intvw Char Char Char1 Char"/>
    <w:rsid w:val="0021257D"/>
    <w:rPr>
      <w:i/>
      <w:iCs w:val="0"/>
      <w:lang w:val="en-US" w:eastAsia="en-US"/>
    </w:rPr>
  </w:style>
  <w:style w:type="character" w:customStyle="1" w:styleId="shorttext1">
    <w:name w:val="short_text1"/>
    <w:rsid w:val="0021257D"/>
    <w:rPr>
      <w:sz w:val="26"/>
    </w:rPr>
  </w:style>
  <w:style w:type="character" w:customStyle="1" w:styleId="Char4">
    <w:name w:val="تذييل صفحة Char"/>
    <w:basedOn w:val="DefaultParagraphFont"/>
    <w:uiPriority w:val="99"/>
    <w:rsid w:val="0021257D"/>
    <w:rPr>
      <w:rFonts w:ascii="Times New Roman" w:hAnsi="Times New Roman" w:cs="Times New Roman" w:hint="default"/>
    </w:rPr>
  </w:style>
  <w:style w:type="character" w:customStyle="1" w:styleId="Char5">
    <w:name w:val="رأس صفحة Char"/>
    <w:basedOn w:val="DefaultParagraphFont"/>
    <w:uiPriority w:val="99"/>
    <w:rsid w:val="0021257D"/>
    <w:rPr>
      <w:rFonts w:ascii="Times New Roman" w:hAnsi="Times New Roman" w:cs="Times New Roman" w:hint="default"/>
    </w:rPr>
  </w:style>
  <w:style w:type="table" w:styleId="TableClassic1">
    <w:name w:val="Table Classic 1"/>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21257D"/>
    <w:pPr>
      <w:spacing w:after="0" w:line="240" w:lineRule="auto"/>
    </w:pPr>
    <w:rPr>
      <w:rFonts w:ascii="Calibri" w:eastAsia="Times New Roman"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1">
    <w:name w:val="Light Shading - Accent 1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1F303D"/>
  </w:style>
  <w:style w:type="paragraph" w:customStyle="1" w:styleId="yiv1847859934msonormal">
    <w:name w:val="yiv1847859934msonormal"/>
    <w:basedOn w:val="Normal"/>
    <w:rsid w:val="003E5A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shortcuts">
    <w:name w:val="yshortcuts"/>
    <w:basedOn w:val="DefaultParagraphFont"/>
    <w:rsid w:val="003E5A2F"/>
  </w:style>
  <w:style w:type="paragraph" w:customStyle="1" w:styleId="yiv95600195msonormal">
    <w:name w:val="yiv95600195msonormal"/>
    <w:basedOn w:val="Normal"/>
    <w:rsid w:val="004B44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1C2271"/>
    <w:rPr>
      <w:rFonts w:ascii="Times New Roman" w:hAnsi="Times New Roman" w:cs="Times New Roman"/>
    </w:rPr>
  </w:style>
  <w:style w:type="paragraph" w:styleId="EndnoteText">
    <w:name w:val="endnote text"/>
    <w:basedOn w:val="Normal"/>
    <w:link w:val="EndnoteTextChar"/>
    <w:uiPriority w:val="99"/>
    <w:unhideWhenUsed/>
    <w:rsid w:val="001C2271"/>
    <w:pPr>
      <w:bidi/>
      <w:spacing w:after="0" w:line="240" w:lineRule="auto"/>
    </w:pPr>
    <w:rPr>
      <w:rFonts w:ascii="Times New Roman" w:eastAsia="Times New Roman" w:hAnsi="Times New Roman" w:cs="Times New Roman"/>
      <w:sz w:val="20"/>
      <w:szCs w:val="20"/>
      <w:lang w:eastAsia="ar-SA"/>
    </w:rPr>
  </w:style>
  <w:style w:type="character" w:customStyle="1" w:styleId="EndnoteTextChar">
    <w:name w:val="Endnote Text Char"/>
    <w:basedOn w:val="DefaultParagraphFont"/>
    <w:link w:val="EndnoteText"/>
    <w:uiPriority w:val="99"/>
    <w:rsid w:val="001C2271"/>
    <w:rPr>
      <w:rFonts w:ascii="Times New Roman" w:eastAsia="Times New Roman" w:hAnsi="Times New Roman" w:cs="Times New Roman"/>
      <w:sz w:val="20"/>
      <w:szCs w:val="20"/>
      <w:lang w:eastAsia="ar-SA"/>
    </w:rPr>
  </w:style>
  <w:style w:type="table" w:customStyle="1" w:styleId="LightShading-Accent12">
    <w:name w:val="Light Shading - Accent 12"/>
    <w:basedOn w:val="TableNormal"/>
    <w:uiPriority w:val="60"/>
    <w:rsid w:val="00E6190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5">
    <w:name w:val="Light Grid Accent 5"/>
    <w:basedOn w:val="TableNormal"/>
    <w:uiPriority w:val="62"/>
    <w:rsid w:val="000E1CE2"/>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TOCHeading">
    <w:name w:val="TOC Heading"/>
    <w:basedOn w:val="Heading1"/>
    <w:next w:val="Normal"/>
    <w:uiPriority w:val="39"/>
    <w:unhideWhenUsed/>
    <w:qFormat/>
    <w:rsid w:val="00F10D3A"/>
    <w:pPr>
      <w:outlineLvl w:val="9"/>
    </w:pPr>
  </w:style>
  <w:style w:type="paragraph" w:styleId="z-BottomofForm">
    <w:name w:val="HTML Bottom of Form"/>
    <w:basedOn w:val="Normal"/>
    <w:next w:val="Normal"/>
    <w:link w:val="z-BottomofFormChar"/>
    <w:hidden/>
    <w:uiPriority w:val="99"/>
    <w:semiHidden/>
    <w:unhideWhenUsed/>
    <w:rsid w:val="0055602F"/>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5602F"/>
    <w:rPr>
      <w:rFonts w:ascii="Arial" w:eastAsia="Times New Roman" w:hAnsi="Arial" w:cs="Arial"/>
      <w:vanish/>
      <w:sz w:val="16"/>
      <w:szCs w:val="16"/>
    </w:rPr>
  </w:style>
  <w:style w:type="character" w:customStyle="1" w:styleId="hps">
    <w:name w:val="hps"/>
    <w:basedOn w:val="DefaultParagraphFont"/>
    <w:rsid w:val="00497D95"/>
  </w:style>
  <w:style w:type="table" w:customStyle="1" w:styleId="PlainTable2">
    <w:name w:val="Plain Table 2"/>
    <w:basedOn w:val="TableNormal"/>
    <w:uiPriority w:val="42"/>
    <w:rsid w:val="00600FC9"/>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Figure">
    <w:name w:val="Figure"/>
    <w:basedOn w:val="Normal"/>
    <w:link w:val="FigureChar"/>
    <w:qFormat/>
    <w:rsid w:val="0007191B"/>
    <w:pPr>
      <w:jc w:val="both"/>
    </w:pPr>
    <w:rPr>
      <w:rFonts w:cs="Simplified Arabic"/>
      <w:b/>
      <w:bCs/>
      <w:sz w:val="24"/>
      <w:szCs w:val="24"/>
    </w:rPr>
  </w:style>
  <w:style w:type="character" w:customStyle="1" w:styleId="FigureChar">
    <w:name w:val="Figure Char"/>
    <w:basedOn w:val="DefaultParagraphFont"/>
    <w:link w:val="Figure"/>
    <w:rsid w:val="0007191B"/>
    <w:rPr>
      <w:rFonts w:cs="Simplified Arabic"/>
      <w:b/>
      <w:bCs/>
      <w:sz w:val="24"/>
      <w:szCs w:val="24"/>
    </w:rPr>
  </w:style>
  <w:style w:type="table" w:customStyle="1" w:styleId="LightShading-Accent13">
    <w:name w:val="Light Shading - Accent 13"/>
    <w:basedOn w:val="TableNormal"/>
    <w:uiPriority w:val="60"/>
    <w:rsid w:val="00093F4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r="http://schemas.openxmlformats.org/officeDocument/2006/relationships" xmlns:w="http://schemas.openxmlformats.org/wordprocessingml/2006/main">
  <w:divs>
    <w:div w:id="49227682">
      <w:bodyDiv w:val="1"/>
      <w:marLeft w:val="0"/>
      <w:marRight w:val="0"/>
      <w:marTop w:val="0"/>
      <w:marBottom w:val="0"/>
      <w:divBdr>
        <w:top w:val="none" w:sz="0" w:space="0" w:color="auto"/>
        <w:left w:val="none" w:sz="0" w:space="0" w:color="auto"/>
        <w:bottom w:val="none" w:sz="0" w:space="0" w:color="auto"/>
        <w:right w:val="none" w:sz="0" w:space="0" w:color="auto"/>
      </w:divBdr>
    </w:div>
    <w:div w:id="78066563">
      <w:bodyDiv w:val="1"/>
      <w:marLeft w:val="0"/>
      <w:marRight w:val="0"/>
      <w:marTop w:val="0"/>
      <w:marBottom w:val="0"/>
      <w:divBdr>
        <w:top w:val="none" w:sz="0" w:space="0" w:color="auto"/>
        <w:left w:val="none" w:sz="0" w:space="0" w:color="auto"/>
        <w:bottom w:val="none" w:sz="0" w:space="0" w:color="auto"/>
        <w:right w:val="none" w:sz="0" w:space="0" w:color="auto"/>
      </w:divBdr>
      <w:divsChild>
        <w:div w:id="1324822845">
          <w:marLeft w:val="0"/>
          <w:marRight w:val="0"/>
          <w:marTop w:val="0"/>
          <w:marBottom w:val="0"/>
          <w:divBdr>
            <w:top w:val="none" w:sz="0" w:space="0" w:color="auto"/>
            <w:left w:val="none" w:sz="0" w:space="0" w:color="auto"/>
            <w:bottom w:val="none" w:sz="0" w:space="0" w:color="auto"/>
            <w:right w:val="none" w:sz="0" w:space="0" w:color="auto"/>
          </w:divBdr>
          <w:divsChild>
            <w:div w:id="534773782">
              <w:marLeft w:val="0"/>
              <w:marRight w:val="0"/>
              <w:marTop w:val="0"/>
              <w:marBottom w:val="0"/>
              <w:divBdr>
                <w:top w:val="none" w:sz="0" w:space="0" w:color="auto"/>
                <w:left w:val="none" w:sz="0" w:space="0" w:color="auto"/>
                <w:bottom w:val="none" w:sz="0" w:space="0" w:color="auto"/>
                <w:right w:val="none" w:sz="0" w:space="0" w:color="auto"/>
              </w:divBdr>
              <w:divsChild>
                <w:div w:id="1236210213">
                  <w:marLeft w:val="0"/>
                  <w:marRight w:val="0"/>
                  <w:marTop w:val="0"/>
                  <w:marBottom w:val="0"/>
                  <w:divBdr>
                    <w:top w:val="none" w:sz="0" w:space="0" w:color="auto"/>
                    <w:left w:val="none" w:sz="0" w:space="0" w:color="auto"/>
                    <w:bottom w:val="none" w:sz="0" w:space="0" w:color="auto"/>
                    <w:right w:val="none" w:sz="0" w:space="0" w:color="auto"/>
                  </w:divBdr>
                  <w:divsChild>
                    <w:div w:id="598947188">
                      <w:marLeft w:val="0"/>
                      <w:marRight w:val="0"/>
                      <w:marTop w:val="0"/>
                      <w:marBottom w:val="0"/>
                      <w:divBdr>
                        <w:top w:val="none" w:sz="0" w:space="0" w:color="auto"/>
                        <w:left w:val="none" w:sz="0" w:space="0" w:color="auto"/>
                        <w:bottom w:val="none" w:sz="0" w:space="0" w:color="auto"/>
                        <w:right w:val="none" w:sz="0" w:space="0" w:color="auto"/>
                      </w:divBdr>
                      <w:divsChild>
                        <w:div w:id="767041352">
                          <w:marLeft w:val="0"/>
                          <w:marRight w:val="0"/>
                          <w:marTop w:val="0"/>
                          <w:marBottom w:val="0"/>
                          <w:divBdr>
                            <w:top w:val="none" w:sz="0" w:space="0" w:color="auto"/>
                            <w:left w:val="none" w:sz="0" w:space="0" w:color="auto"/>
                            <w:bottom w:val="none" w:sz="0" w:space="0" w:color="auto"/>
                            <w:right w:val="none" w:sz="0" w:space="0" w:color="auto"/>
                          </w:divBdr>
                          <w:divsChild>
                            <w:div w:id="417873892">
                              <w:marLeft w:val="0"/>
                              <w:marRight w:val="0"/>
                              <w:marTop w:val="0"/>
                              <w:marBottom w:val="0"/>
                              <w:divBdr>
                                <w:top w:val="none" w:sz="0" w:space="0" w:color="auto"/>
                                <w:left w:val="none" w:sz="0" w:space="0" w:color="auto"/>
                                <w:bottom w:val="none" w:sz="0" w:space="0" w:color="auto"/>
                                <w:right w:val="none" w:sz="0" w:space="0" w:color="auto"/>
                              </w:divBdr>
                              <w:divsChild>
                                <w:div w:id="1758332525">
                                  <w:marLeft w:val="0"/>
                                  <w:marRight w:val="0"/>
                                  <w:marTop w:val="0"/>
                                  <w:marBottom w:val="0"/>
                                  <w:divBdr>
                                    <w:top w:val="none" w:sz="0" w:space="0" w:color="auto"/>
                                    <w:left w:val="none" w:sz="0" w:space="0" w:color="auto"/>
                                    <w:bottom w:val="none" w:sz="0" w:space="0" w:color="auto"/>
                                    <w:right w:val="none" w:sz="0" w:space="0" w:color="auto"/>
                                  </w:divBdr>
                                  <w:divsChild>
                                    <w:div w:id="1107851318">
                                      <w:marLeft w:val="0"/>
                                      <w:marRight w:val="0"/>
                                      <w:marTop w:val="0"/>
                                      <w:marBottom w:val="0"/>
                                      <w:divBdr>
                                        <w:top w:val="none" w:sz="0" w:space="0" w:color="auto"/>
                                        <w:left w:val="none" w:sz="0" w:space="0" w:color="auto"/>
                                        <w:bottom w:val="none" w:sz="0" w:space="0" w:color="auto"/>
                                        <w:right w:val="none" w:sz="0" w:space="0" w:color="auto"/>
                                      </w:divBdr>
                                      <w:divsChild>
                                        <w:div w:id="781728707">
                                          <w:marLeft w:val="0"/>
                                          <w:marRight w:val="0"/>
                                          <w:marTop w:val="0"/>
                                          <w:marBottom w:val="0"/>
                                          <w:divBdr>
                                            <w:top w:val="none" w:sz="0" w:space="0" w:color="auto"/>
                                            <w:left w:val="none" w:sz="0" w:space="0" w:color="auto"/>
                                            <w:bottom w:val="none" w:sz="0" w:space="0" w:color="auto"/>
                                            <w:right w:val="none" w:sz="0" w:space="0" w:color="auto"/>
                                          </w:divBdr>
                                          <w:divsChild>
                                            <w:div w:id="1101029369">
                                              <w:marLeft w:val="0"/>
                                              <w:marRight w:val="0"/>
                                              <w:marTop w:val="0"/>
                                              <w:marBottom w:val="0"/>
                                              <w:divBdr>
                                                <w:top w:val="none" w:sz="0" w:space="0" w:color="auto"/>
                                                <w:left w:val="none" w:sz="0" w:space="0" w:color="auto"/>
                                                <w:bottom w:val="none" w:sz="0" w:space="0" w:color="auto"/>
                                                <w:right w:val="none" w:sz="0" w:space="0" w:color="auto"/>
                                              </w:divBdr>
                                            </w:div>
                                            <w:div w:id="1373268574">
                                              <w:marLeft w:val="0"/>
                                              <w:marRight w:val="0"/>
                                              <w:marTop w:val="0"/>
                                              <w:marBottom w:val="0"/>
                                              <w:divBdr>
                                                <w:top w:val="none" w:sz="0" w:space="0" w:color="auto"/>
                                                <w:left w:val="none" w:sz="0" w:space="0" w:color="auto"/>
                                                <w:bottom w:val="none" w:sz="0" w:space="0" w:color="auto"/>
                                                <w:right w:val="none" w:sz="0" w:space="0" w:color="auto"/>
                                              </w:divBdr>
                                            </w:div>
                                            <w:div w:id="1742478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987684">
      <w:bodyDiv w:val="1"/>
      <w:marLeft w:val="0"/>
      <w:marRight w:val="0"/>
      <w:marTop w:val="0"/>
      <w:marBottom w:val="0"/>
      <w:divBdr>
        <w:top w:val="none" w:sz="0" w:space="0" w:color="auto"/>
        <w:left w:val="none" w:sz="0" w:space="0" w:color="auto"/>
        <w:bottom w:val="none" w:sz="0" w:space="0" w:color="auto"/>
        <w:right w:val="none" w:sz="0" w:space="0" w:color="auto"/>
      </w:divBdr>
    </w:div>
    <w:div w:id="225650578">
      <w:bodyDiv w:val="1"/>
      <w:marLeft w:val="0"/>
      <w:marRight w:val="0"/>
      <w:marTop w:val="0"/>
      <w:marBottom w:val="0"/>
      <w:divBdr>
        <w:top w:val="none" w:sz="0" w:space="0" w:color="auto"/>
        <w:left w:val="none" w:sz="0" w:space="0" w:color="auto"/>
        <w:bottom w:val="none" w:sz="0" w:space="0" w:color="auto"/>
        <w:right w:val="none" w:sz="0" w:space="0" w:color="auto"/>
      </w:divBdr>
    </w:div>
    <w:div w:id="321736284">
      <w:bodyDiv w:val="1"/>
      <w:marLeft w:val="0"/>
      <w:marRight w:val="0"/>
      <w:marTop w:val="0"/>
      <w:marBottom w:val="0"/>
      <w:divBdr>
        <w:top w:val="none" w:sz="0" w:space="0" w:color="auto"/>
        <w:left w:val="none" w:sz="0" w:space="0" w:color="auto"/>
        <w:bottom w:val="none" w:sz="0" w:space="0" w:color="auto"/>
        <w:right w:val="none" w:sz="0" w:space="0" w:color="auto"/>
      </w:divBdr>
    </w:div>
    <w:div w:id="447166316">
      <w:bodyDiv w:val="1"/>
      <w:marLeft w:val="0"/>
      <w:marRight w:val="0"/>
      <w:marTop w:val="0"/>
      <w:marBottom w:val="0"/>
      <w:divBdr>
        <w:top w:val="none" w:sz="0" w:space="0" w:color="auto"/>
        <w:left w:val="none" w:sz="0" w:space="0" w:color="auto"/>
        <w:bottom w:val="none" w:sz="0" w:space="0" w:color="auto"/>
        <w:right w:val="none" w:sz="0" w:space="0" w:color="auto"/>
      </w:divBdr>
    </w:div>
    <w:div w:id="477500546">
      <w:bodyDiv w:val="1"/>
      <w:marLeft w:val="0"/>
      <w:marRight w:val="0"/>
      <w:marTop w:val="0"/>
      <w:marBottom w:val="0"/>
      <w:divBdr>
        <w:top w:val="none" w:sz="0" w:space="0" w:color="auto"/>
        <w:left w:val="none" w:sz="0" w:space="0" w:color="auto"/>
        <w:bottom w:val="none" w:sz="0" w:space="0" w:color="auto"/>
        <w:right w:val="none" w:sz="0" w:space="0" w:color="auto"/>
      </w:divBdr>
    </w:div>
    <w:div w:id="489443471">
      <w:bodyDiv w:val="1"/>
      <w:marLeft w:val="0"/>
      <w:marRight w:val="0"/>
      <w:marTop w:val="0"/>
      <w:marBottom w:val="0"/>
      <w:divBdr>
        <w:top w:val="none" w:sz="0" w:space="0" w:color="auto"/>
        <w:left w:val="none" w:sz="0" w:space="0" w:color="auto"/>
        <w:bottom w:val="none" w:sz="0" w:space="0" w:color="auto"/>
        <w:right w:val="none" w:sz="0" w:space="0" w:color="auto"/>
      </w:divBdr>
    </w:div>
    <w:div w:id="529338799">
      <w:bodyDiv w:val="1"/>
      <w:marLeft w:val="0"/>
      <w:marRight w:val="0"/>
      <w:marTop w:val="0"/>
      <w:marBottom w:val="0"/>
      <w:divBdr>
        <w:top w:val="none" w:sz="0" w:space="0" w:color="auto"/>
        <w:left w:val="none" w:sz="0" w:space="0" w:color="auto"/>
        <w:bottom w:val="none" w:sz="0" w:space="0" w:color="auto"/>
        <w:right w:val="none" w:sz="0" w:space="0" w:color="auto"/>
      </w:divBdr>
    </w:div>
    <w:div w:id="534385476">
      <w:bodyDiv w:val="1"/>
      <w:marLeft w:val="0"/>
      <w:marRight w:val="0"/>
      <w:marTop w:val="0"/>
      <w:marBottom w:val="0"/>
      <w:divBdr>
        <w:top w:val="none" w:sz="0" w:space="0" w:color="auto"/>
        <w:left w:val="none" w:sz="0" w:space="0" w:color="auto"/>
        <w:bottom w:val="none" w:sz="0" w:space="0" w:color="auto"/>
        <w:right w:val="none" w:sz="0" w:space="0" w:color="auto"/>
      </w:divBdr>
    </w:div>
    <w:div w:id="589894018">
      <w:bodyDiv w:val="1"/>
      <w:marLeft w:val="0"/>
      <w:marRight w:val="0"/>
      <w:marTop w:val="0"/>
      <w:marBottom w:val="0"/>
      <w:divBdr>
        <w:top w:val="none" w:sz="0" w:space="0" w:color="auto"/>
        <w:left w:val="none" w:sz="0" w:space="0" w:color="auto"/>
        <w:bottom w:val="none" w:sz="0" w:space="0" w:color="auto"/>
        <w:right w:val="none" w:sz="0" w:space="0" w:color="auto"/>
      </w:divBdr>
    </w:div>
    <w:div w:id="615599317">
      <w:bodyDiv w:val="1"/>
      <w:marLeft w:val="0"/>
      <w:marRight w:val="0"/>
      <w:marTop w:val="0"/>
      <w:marBottom w:val="0"/>
      <w:divBdr>
        <w:top w:val="none" w:sz="0" w:space="0" w:color="auto"/>
        <w:left w:val="none" w:sz="0" w:space="0" w:color="auto"/>
        <w:bottom w:val="none" w:sz="0" w:space="0" w:color="auto"/>
        <w:right w:val="none" w:sz="0" w:space="0" w:color="auto"/>
      </w:divBdr>
    </w:div>
    <w:div w:id="622227755">
      <w:bodyDiv w:val="1"/>
      <w:marLeft w:val="0"/>
      <w:marRight w:val="0"/>
      <w:marTop w:val="0"/>
      <w:marBottom w:val="0"/>
      <w:divBdr>
        <w:top w:val="none" w:sz="0" w:space="0" w:color="auto"/>
        <w:left w:val="none" w:sz="0" w:space="0" w:color="auto"/>
        <w:bottom w:val="none" w:sz="0" w:space="0" w:color="auto"/>
        <w:right w:val="none" w:sz="0" w:space="0" w:color="auto"/>
      </w:divBdr>
    </w:div>
    <w:div w:id="646594129">
      <w:bodyDiv w:val="1"/>
      <w:marLeft w:val="0"/>
      <w:marRight w:val="0"/>
      <w:marTop w:val="0"/>
      <w:marBottom w:val="0"/>
      <w:divBdr>
        <w:top w:val="none" w:sz="0" w:space="0" w:color="auto"/>
        <w:left w:val="none" w:sz="0" w:space="0" w:color="auto"/>
        <w:bottom w:val="none" w:sz="0" w:space="0" w:color="auto"/>
        <w:right w:val="none" w:sz="0" w:space="0" w:color="auto"/>
      </w:divBdr>
    </w:div>
    <w:div w:id="740559211">
      <w:bodyDiv w:val="1"/>
      <w:marLeft w:val="0"/>
      <w:marRight w:val="0"/>
      <w:marTop w:val="0"/>
      <w:marBottom w:val="0"/>
      <w:divBdr>
        <w:top w:val="none" w:sz="0" w:space="0" w:color="auto"/>
        <w:left w:val="none" w:sz="0" w:space="0" w:color="auto"/>
        <w:bottom w:val="none" w:sz="0" w:space="0" w:color="auto"/>
        <w:right w:val="none" w:sz="0" w:space="0" w:color="auto"/>
      </w:divBdr>
    </w:div>
    <w:div w:id="761754546">
      <w:bodyDiv w:val="1"/>
      <w:marLeft w:val="0"/>
      <w:marRight w:val="0"/>
      <w:marTop w:val="0"/>
      <w:marBottom w:val="0"/>
      <w:divBdr>
        <w:top w:val="none" w:sz="0" w:space="0" w:color="auto"/>
        <w:left w:val="none" w:sz="0" w:space="0" w:color="auto"/>
        <w:bottom w:val="none" w:sz="0" w:space="0" w:color="auto"/>
        <w:right w:val="none" w:sz="0" w:space="0" w:color="auto"/>
      </w:divBdr>
    </w:div>
    <w:div w:id="773597186">
      <w:bodyDiv w:val="1"/>
      <w:marLeft w:val="0"/>
      <w:marRight w:val="0"/>
      <w:marTop w:val="0"/>
      <w:marBottom w:val="0"/>
      <w:divBdr>
        <w:top w:val="none" w:sz="0" w:space="0" w:color="auto"/>
        <w:left w:val="none" w:sz="0" w:space="0" w:color="auto"/>
        <w:bottom w:val="none" w:sz="0" w:space="0" w:color="auto"/>
        <w:right w:val="none" w:sz="0" w:space="0" w:color="auto"/>
      </w:divBdr>
    </w:div>
    <w:div w:id="779642458">
      <w:bodyDiv w:val="1"/>
      <w:marLeft w:val="0"/>
      <w:marRight w:val="0"/>
      <w:marTop w:val="0"/>
      <w:marBottom w:val="0"/>
      <w:divBdr>
        <w:top w:val="none" w:sz="0" w:space="0" w:color="auto"/>
        <w:left w:val="none" w:sz="0" w:space="0" w:color="auto"/>
        <w:bottom w:val="none" w:sz="0" w:space="0" w:color="auto"/>
        <w:right w:val="none" w:sz="0" w:space="0" w:color="auto"/>
      </w:divBdr>
    </w:div>
    <w:div w:id="803428490">
      <w:bodyDiv w:val="1"/>
      <w:marLeft w:val="0"/>
      <w:marRight w:val="0"/>
      <w:marTop w:val="0"/>
      <w:marBottom w:val="0"/>
      <w:divBdr>
        <w:top w:val="none" w:sz="0" w:space="0" w:color="auto"/>
        <w:left w:val="none" w:sz="0" w:space="0" w:color="auto"/>
        <w:bottom w:val="none" w:sz="0" w:space="0" w:color="auto"/>
        <w:right w:val="none" w:sz="0" w:space="0" w:color="auto"/>
      </w:divBdr>
    </w:div>
    <w:div w:id="886256855">
      <w:bodyDiv w:val="1"/>
      <w:marLeft w:val="0"/>
      <w:marRight w:val="0"/>
      <w:marTop w:val="0"/>
      <w:marBottom w:val="0"/>
      <w:divBdr>
        <w:top w:val="none" w:sz="0" w:space="0" w:color="auto"/>
        <w:left w:val="none" w:sz="0" w:space="0" w:color="auto"/>
        <w:bottom w:val="none" w:sz="0" w:space="0" w:color="auto"/>
        <w:right w:val="none" w:sz="0" w:space="0" w:color="auto"/>
      </w:divBdr>
    </w:div>
    <w:div w:id="956326199">
      <w:bodyDiv w:val="1"/>
      <w:marLeft w:val="0"/>
      <w:marRight w:val="0"/>
      <w:marTop w:val="0"/>
      <w:marBottom w:val="0"/>
      <w:divBdr>
        <w:top w:val="none" w:sz="0" w:space="0" w:color="auto"/>
        <w:left w:val="none" w:sz="0" w:space="0" w:color="auto"/>
        <w:bottom w:val="none" w:sz="0" w:space="0" w:color="auto"/>
        <w:right w:val="none" w:sz="0" w:space="0" w:color="auto"/>
      </w:divBdr>
    </w:div>
    <w:div w:id="971440389">
      <w:bodyDiv w:val="1"/>
      <w:marLeft w:val="0"/>
      <w:marRight w:val="0"/>
      <w:marTop w:val="0"/>
      <w:marBottom w:val="0"/>
      <w:divBdr>
        <w:top w:val="none" w:sz="0" w:space="0" w:color="auto"/>
        <w:left w:val="none" w:sz="0" w:space="0" w:color="auto"/>
        <w:bottom w:val="none" w:sz="0" w:space="0" w:color="auto"/>
        <w:right w:val="none" w:sz="0" w:space="0" w:color="auto"/>
      </w:divBdr>
    </w:div>
    <w:div w:id="990060761">
      <w:bodyDiv w:val="1"/>
      <w:marLeft w:val="0"/>
      <w:marRight w:val="0"/>
      <w:marTop w:val="0"/>
      <w:marBottom w:val="0"/>
      <w:divBdr>
        <w:top w:val="none" w:sz="0" w:space="0" w:color="auto"/>
        <w:left w:val="none" w:sz="0" w:space="0" w:color="auto"/>
        <w:bottom w:val="none" w:sz="0" w:space="0" w:color="auto"/>
        <w:right w:val="none" w:sz="0" w:space="0" w:color="auto"/>
      </w:divBdr>
    </w:div>
    <w:div w:id="1000693948">
      <w:bodyDiv w:val="1"/>
      <w:marLeft w:val="0"/>
      <w:marRight w:val="0"/>
      <w:marTop w:val="0"/>
      <w:marBottom w:val="0"/>
      <w:divBdr>
        <w:top w:val="none" w:sz="0" w:space="0" w:color="auto"/>
        <w:left w:val="none" w:sz="0" w:space="0" w:color="auto"/>
        <w:bottom w:val="none" w:sz="0" w:space="0" w:color="auto"/>
        <w:right w:val="none" w:sz="0" w:space="0" w:color="auto"/>
      </w:divBdr>
    </w:div>
    <w:div w:id="1001204536">
      <w:bodyDiv w:val="1"/>
      <w:marLeft w:val="0"/>
      <w:marRight w:val="0"/>
      <w:marTop w:val="0"/>
      <w:marBottom w:val="0"/>
      <w:divBdr>
        <w:top w:val="none" w:sz="0" w:space="0" w:color="auto"/>
        <w:left w:val="none" w:sz="0" w:space="0" w:color="auto"/>
        <w:bottom w:val="none" w:sz="0" w:space="0" w:color="auto"/>
        <w:right w:val="none" w:sz="0" w:space="0" w:color="auto"/>
      </w:divBdr>
    </w:div>
    <w:div w:id="1063142540">
      <w:bodyDiv w:val="1"/>
      <w:marLeft w:val="0"/>
      <w:marRight w:val="0"/>
      <w:marTop w:val="0"/>
      <w:marBottom w:val="0"/>
      <w:divBdr>
        <w:top w:val="none" w:sz="0" w:space="0" w:color="auto"/>
        <w:left w:val="none" w:sz="0" w:space="0" w:color="auto"/>
        <w:bottom w:val="none" w:sz="0" w:space="0" w:color="auto"/>
        <w:right w:val="none" w:sz="0" w:space="0" w:color="auto"/>
      </w:divBdr>
    </w:div>
    <w:div w:id="1078092321">
      <w:bodyDiv w:val="1"/>
      <w:marLeft w:val="0"/>
      <w:marRight w:val="0"/>
      <w:marTop w:val="0"/>
      <w:marBottom w:val="0"/>
      <w:divBdr>
        <w:top w:val="none" w:sz="0" w:space="0" w:color="auto"/>
        <w:left w:val="none" w:sz="0" w:space="0" w:color="auto"/>
        <w:bottom w:val="none" w:sz="0" w:space="0" w:color="auto"/>
        <w:right w:val="none" w:sz="0" w:space="0" w:color="auto"/>
      </w:divBdr>
    </w:div>
    <w:div w:id="1093622575">
      <w:bodyDiv w:val="1"/>
      <w:marLeft w:val="0"/>
      <w:marRight w:val="0"/>
      <w:marTop w:val="0"/>
      <w:marBottom w:val="0"/>
      <w:divBdr>
        <w:top w:val="none" w:sz="0" w:space="0" w:color="auto"/>
        <w:left w:val="none" w:sz="0" w:space="0" w:color="auto"/>
        <w:bottom w:val="none" w:sz="0" w:space="0" w:color="auto"/>
        <w:right w:val="none" w:sz="0" w:space="0" w:color="auto"/>
      </w:divBdr>
    </w:div>
    <w:div w:id="1145077044">
      <w:bodyDiv w:val="1"/>
      <w:marLeft w:val="0"/>
      <w:marRight w:val="0"/>
      <w:marTop w:val="0"/>
      <w:marBottom w:val="0"/>
      <w:divBdr>
        <w:top w:val="none" w:sz="0" w:space="0" w:color="auto"/>
        <w:left w:val="none" w:sz="0" w:space="0" w:color="auto"/>
        <w:bottom w:val="none" w:sz="0" w:space="0" w:color="auto"/>
        <w:right w:val="none" w:sz="0" w:space="0" w:color="auto"/>
      </w:divBdr>
    </w:div>
    <w:div w:id="1287811687">
      <w:bodyDiv w:val="1"/>
      <w:marLeft w:val="0"/>
      <w:marRight w:val="0"/>
      <w:marTop w:val="0"/>
      <w:marBottom w:val="0"/>
      <w:divBdr>
        <w:top w:val="none" w:sz="0" w:space="0" w:color="auto"/>
        <w:left w:val="none" w:sz="0" w:space="0" w:color="auto"/>
        <w:bottom w:val="none" w:sz="0" w:space="0" w:color="auto"/>
        <w:right w:val="none" w:sz="0" w:space="0" w:color="auto"/>
      </w:divBdr>
    </w:div>
    <w:div w:id="1306273780">
      <w:bodyDiv w:val="1"/>
      <w:marLeft w:val="0"/>
      <w:marRight w:val="0"/>
      <w:marTop w:val="0"/>
      <w:marBottom w:val="0"/>
      <w:divBdr>
        <w:top w:val="none" w:sz="0" w:space="0" w:color="auto"/>
        <w:left w:val="none" w:sz="0" w:space="0" w:color="auto"/>
        <w:bottom w:val="none" w:sz="0" w:space="0" w:color="auto"/>
        <w:right w:val="none" w:sz="0" w:space="0" w:color="auto"/>
      </w:divBdr>
    </w:div>
    <w:div w:id="1327248468">
      <w:bodyDiv w:val="1"/>
      <w:marLeft w:val="0"/>
      <w:marRight w:val="0"/>
      <w:marTop w:val="0"/>
      <w:marBottom w:val="0"/>
      <w:divBdr>
        <w:top w:val="none" w:sz="0" w:space="0" w:color="auto"/>
        <w:left w:val="none" w:sz="0" w:space="0" w:color="auto"/>
        <w:bottom w:val="none" w:sz="0" w:space="0" w:color="auto"/>
        <w:right w:val="none" w:sz="0" w:space="0" w:color="auto"/>
      </w:divBdr>
    </w:div>
    <w:div w:id="1333218680">
      <w:bodyDiv w:val="1"/>
      <w:marLeft w:val="0"/>
      <w:marRight w:val="0"/>
      <w:marTop w:val="0"/>
      <w:marBottom w:val="0"/>
      <w:divBdr>
        <w:top w:val="none" w:sz="0" w:space="0" w:color="auto"/>
        <w:left w:val="none" w:sz="0" w:space="0" w:color="auto"/>
        <w:bottom w:val="none" w:sz="0" w:space="0" w:color="auto"/>
        <w:right w:val="none" w:sz="0" w:space="0" w:color="auto"/>
      </w:divBdr>
    </w:div>
    <w:div w:id="1474329440">
      <w:bodyDiv w:val="1"/>
      <w:marLeft w:val="0"/>
      <w:marRight w:val="0"/>
      <w:marTop w:val="0"/>
      <w:marBottom w:val="0"/>
      <w:divBdr>
        <w:top w:val="none" w:sz="0" w:space="0" w:color="auto"/>
        <w:left w:val="none" w:sz="0" w:space="0" w:color="auto"/>
        <w:bottom w:val="none" w:sz="0" w:space="0" w:color="auto"/>
        <w:right w:val="none" w:sz="0" w:space="0" w:color="auto"/>
      </w:divBdr>
    </w:div>
    <w:div w:id="1536192362">
      <w:bodyDiv w:val="1"/>
      <w:marLeft w:val="0"/>
      <w:marRight w:val="0"/>
      <w:marTop w:val="0"/>
      <w:marBottom w:val="0"/>
      <w:divBdr>
        <w:top w:val="none" w:sz="0" w:space="0" w:color="auto"/>
        <w:left w:val="none" w:sz="0" w:space="0" w:color="auto"/>
        <w:bottom w:val="none" w:sz="0" w:space="0" w:color="auto"/>
        <w:right w:val="none" w:sz="0" w:space="0" w:color="auto"/>
      </w:divBdr>
    </w:div>
    <w:div w:id="1537499520">
      <w:bodyDiv w:val="1"/>
      <w:marLeft w:val="0"/>
      <w:marRight w:val="0"/>
      <w:marTop w:val="0"/>
      <w:marBottom w:val="0"/>
      <w:divBdr>
        <w:top w:val="none" w:sz="0" w:space="0" w:color="auto"/>
        <w:left w:val="none" w:sz="0" w:space="0" w:color="auto"/>
        <w:bottom w:val="none" w:sz="0" w:space="0" w:color="auto"/>
        <w:right w:val="none" w:sz="0" w:space="0" w:color="auto"/>
      </w:divBdr>
      <w:divsChild>
        <w:div w:id="1935356237">
          <w:marLeft w:val="0"/>
          <w:marRight w:val="0"/>
          <w:marTop w:val="0"/>
          <w:marBottom w:val="0"/>
          <w:divBdr>
            <w:top w:val="none" w:sz="0" w:space="0" w:color="auto"/>
            <w:left w:val="none" w:sz="0" w:space="0" w:color="auto"/>
            <w:bottom w:val="none" w:sz="0" w:space="0" w:color="auto"/>
            <w:right w:val="none" w:sz="0" w:space="0" w:color="auto"/>
          </w:divBdr>
          <w:divsChild>
            <w:div w:id="1368603211">
              <w:marLeft w:val="0"/>
              <w:marRight w:val="0"/>
              <w:marTop w:val="0"/>
              <w:marBottom w:val="0"/>
              <w:divBdr>
                <w:top w:val="none" w:sz="0" w:space="0" w:color="auto"/>
                <w:left w:val="none" w:sz="0" w:space="0" w:color="auto"/>
                <w:bottom w:val="none" w:sz="0" w:space="0" w:color="auto"/>
                <w:right w:val="none" w:sz="0" w:space="0" w:color="auto"/>
              </w:divBdr>
              <w:divsChild>
                <w:div w:id="585769081">
                  <w:marLeft w:val="0"/>
                  <w:marRight w:val="0"/>
                  <w:marTop w:val="0"/>
                  <w:marBottom w:val="0"/>
                  <w:divBdr>
                    <w:top w:val="none" w:sz="0" w:space="0" w:color="auto"/>
                    <w:left w:val="none" w:sz="0" w:space="0" w:color="auto"/>
                    <w:bottom w:val="none" w:sz="0" w:space="0" w:color="auto"/>
                    <w:right w:val="none" w:sz="0" w:space="0" w:color="auto"/>
                  </w:divBdr>
                  <w:divsChild>
                    <w:div w:id="1762066753">
                      <w:marLeft w:val="0"/>
                      <w:marRight w:val="0"/>
                      <w:marTop w:val="0"/>
                      <w:marBottom w:val="0"/>
                      <w:divBdr>
                        <w:top w:val="none" w:sz="0" w:space="0" w:color="auto"/>
                        <w:left w:val="none" w:sz="0" w:space="0" w:color="auto"/>
                        <w:bottom w:val="none" w:sz="0" w:space="0" w:color="auto"/>
                        <w:right w:val="none" w:sz="0" w:space="0" w:color="auto"/>
                      </w:divBdr>
                      <w:divsChild>
                        <w:div w:id="735663883">
                          <w:marLeft w:val="0"/>
                          <w:marRight w:val="0"/>
                          <w:marTop w:val="0"/>
                          <w:marBottom w:val="0"/>
                          <w:divBdr>
                            <w:top w:val="none" w:sz="0" w:space="0" w:color="auto"/>
                            <w:left w:val="none" w:sz="0" w:space="0" w:color="auto"/>
                            <w:bottom w:val="none" w:sz="0" w:space="0" w:color="auto"/>
                            <w:right w:val="none" w:sz="0" w:space="0" w:color="auto"/>
                          </w:divBdr>
                          <w:divsChild>
                            <w:div w:id="2096433450">
                              <w:marLeft w:val="0"/>
                              <w:marRight w:val="0"/>
                              <w:marTop w:val="0"/>
                              <w:marBottom w:val="0"/>
                              <w:divBdr>
                                <w:top w:val="none" w:sz="0" w:space="0" w:color="auto"/>
                                <w:left w:val="none" w:sz="0" w:space="0" w:color="auto"/>
                                <w:bottom w:val="none" w:sz="0" w:space="0" w:color="auto"/>
                                <w:right w:val="none" w:sz="0" w:space="0" w:color="auto"/>
                              </w:divBdr>
                              <w:divsChild>
                                <w:div w:id="2088186166">
                                  <w:marLeft w:val="0"/>
                                  <w:marRight w:val="0"/>
                                  <w:marTop w:val="0"/>
                                  <w:marBottom w:val="0"/>
                                  <w:divBdr>
                                    <w:top w:val="none" w:sz="0" w:space="0" w:color="auto"/>
                                    <w:left w:val="none" w:sz="0" w:space="0" w:color="auto"/>
                                    <w:bottom w:val="none" w:sz="0" w:space="0" w:color="auto"/>
                                    <w:right w:val="none" w:sz="0" w:space="0" w:color="auto"/>
                                  </w:divBdr>
                                  <w:divsChild>
                                    <w:div w:id="1935477777">
                                      <w:marLeft w:val="0"/>
                                      <w:marRight w:val="0"/>
                                      <w:marTop w:val="0"/>
                                      <w:marBottom w:val="0"/>
                                      <w:divBdr>
                                        <w:top w:val="none" w:sz="0" w:space="0" w:color="auto"/>
                                        <w:left w:val="none" w:sz="0" w:space="0" w:color="auto"/>
                                        <w:bottom w:val="none" w:sz="0" w:space="0" w:color="auto"/>
                                        <w:right w:val="none" w:sz="0" w:space="0" w:color="auto"/>
                                      </w:divBdr>
                                      <w:divsChild>
                                        <w:div w:id="1971208336">
                                          <w:marLeft w:val="0"/>
                                          <w:marRight w:val="0"/>
                                          <w:marTop w:val="0"/>
                                          <w:marBottom w:val="0"/>
                                          <w:divBdr>
                                            <w:top w:val="none" w:sz="0" w:space="0" w:color="auto"/>
                                            <w:left w:val="none" w:sz="0" w:space="0" w:color="auto"/>
                                            <w:bottom w:val="none" w:sz="0" w:space="0" w:color="auto"/>
                                            <w:right w:val="none" w:sz="0" w:space="0" w:color="auto"/>
                                          </w:divBdr>
                                          <w:divsChild>
                                            <w:div w:id="115494073">
                                              <w:marLeft w:val="0"/>
                                              <w:marRight w:val="0"/>
                                              <w:marTop w:val="0"/>
                                              <w:marBottom w:val="0"/>
                                              <w:divBdr>
                                                <w:top w:val="none" w:sz="0" w:space="0" w:color="auto"/>
                                                <w:left w:val="none" w:sz="0" w:space="0" w:color="auto"/>
                                                <w:bottom w:val="none" w:sz="0" w:space="0" w:color="auto"/>
                                                <w:right w:val="none" w:sz="0" w:space="0" w:color="auto"/>
                                              </w:divBdr>
                                            </w:div>
                                            <w:div w:id="1684865748">
                                              <w:marLeft w:val="0"/>
                                              <w:marRight w:val="0"/>
                                              <w:marTop w:val="0"/>
                                              <w:marBottom w:val="0"/>
                                              <w:divBdr>
                                                <w:top w:val="none" w:sz="0" w:space="0" w:color="auto"/>
                                                <w:left w:val="none" w:sz="0" w:space="0" w:color="auto"/>
                                                <w:bottom w:val="none" w:sz="0" w:space="0" w:color="auto"/>
                                                <w:right w:val="none" w:sz="0" w:space="0" w:color="auto"/>
                                              </w:divBdr>
                                              <w:divsChild>
                                                <w:div w:id="1927691698">
                                                  <w:marLeft w:val="0"/>
                                                  <w:marRight w:val="0"/>
                                                  <w:marTop w:val="0"/>
                                                  <w:marBottom w:val="0"/>
                                                  <w:divBdr>
                                                    <w:top w:val="none" w:sz="0" w:space="0" w:color="auto"/>
                                                    <w:left w:val="none" w:sz="0" w:space="0" w:color="auto"/>
                                                    <w:bottom w:val="none" w:sz="0" w:space="0" w:color="auto"/>
                                                    <w:right w:val="none" w:sz="0" w:space="0" w:color="auto"/>
                                                  </w:divBdr>
                                                </w:div>
                                              </w:divsChild>
                                            </w:div>
                                            <w:div w:id="176337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0242319">
      <w:bodyDiv w:val="1"/>
      <w:marLeft w:val="0"/>
      <w:marRight w:val="0"/>
      <w:marTop w:val="0"/>
      <w:marBottom w:val="0"/>
      <w:divBdr>
        <w:top w:val="none" w:sz="0" w:space="0" w:color="auto"/>
        <w:left w:val="none" w:sz="0" w:space="0" w:color="auto"/>
        <w:bottom w:val="none" w:sz="0" w:space="0" w:color="auto"/>
        <w:right w:val="none" w:sz="0" w:space="0" w:color="auto"/>
      </w:divBdr>
      <w:divsChild>
        <w:div w:id="1698659499">
          <w:marLeft w:val="0"/>
          <w:marRight w:val="0"/>
          <w:marTop w:val="0"/>
          <w:marBottom w:val="0"/>
          <w:divBdr>
            <w:top w:val="none" w:sz="0" w:space="0" w:color="auto"/>
            <w:left w:val="none" w:sz="0" w:space="0" w:color="auto"/>
            <w:bottom w:val="none" w:sz="0" w:space="0" w:color="auto"/>
            <w:right w:val="none" w:sz="0" w:space="0" w:color="auto"/>
          </w:divBdr>
          <w:divsChild>
            <w:div w:id="523708238">
              <w:marLeft w:val="0"/>
              <w:marRight w:val="0"/>
              <w:marTop w:val="0"/>
              <w:marBottom w:val="0"/>
              <w:divBdr>
                <w:top w:val="none" w:sz="0" w:space="0" w:color="auto"/>
                <w:left w:val="none" w:sz="0" w:space="0" w:color="auto"/>
                <w:bottom w:val="none" w:sz="0" w:space="0" w:color="auto"/>
                <w:right w:val="none" w:sz="0" w:space="0" w:color="auto"/>
              </w:divBdr>
              <w:divsChild>
                <w:div w:id="77020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421456">
      <w:bodyDiv w:val="1"/>
      <w:marLeft w:val="0"/>
      <w:marRight w:val="0"/>
      <w:marTop w:val="0"/>
      <w:marBottom w:val="0"/>
      <w:divBdr>
        <w:top w:val="none" w:sz="0" w:space="0" w:color="auto"/>
        <w:left w:val="none" w:sz="0" w:space="0" w:color="auto"/>
        <w:bottom w:val="none" w:sz="0" w:space="0" w:color="auto"/>
        <w:right w:val="none" w:sz="0" w:space="0" w:color="auto"/>
      </w:divBdr>
    </w:div>
    <w:div w:id="1687059048">
      <w:bodyDiv w:val="1"/>
      <w:marLeft w:val="0"/>
      <w:marRight w:val="0"/>
      <w:marTop w:val="0"/>
      <w:marBottom w:val="0"/>
      <w:divBdr>
        <w:top w:val="none" w:sz="0" w:space="0" w:color="auto"/>
        <w:left w:val="none" w:sz="0" w:space="0" w:color="auto"/>
        <w:bottom w:val="none" w:sz="0" w:space="0" w:color="auto"/>
        <w:right w:val="none" w:sz="0" w:space="0" w:color="auto"/>
      </w:divBdr>
    </w:div>
    <w:div w:id="1703048908">
      <w:bodyDiv w:val="1"/>
      <w:marLeft w:val="0"/>
      <w:marRight w:val="0"/>
      <w:marTop w:val="0"/>
      <w:marBottom w:val="0"/>
      <w:divBdr>
        <w:top w:val="none" w:sz="0" w:space="0" w:color="auto"/>
        <w:left w:val="none" w:sz="0" w:space="0" w:color="auto"/>
        <w:bottom w:val="none" w:sz="0" w:space="0" w:color="auto"/>
        <w:right w:val="none" w:sz="0" w:space="0" w:color="auto"/>
      </w:divBdr>
    </w:div>
    <w:div w:id="1746370110">
      <w:bodyDiv w:val="1"/>
      <w:marLeft w:val="0"/>
      <w:marRight w:val="0"/>
      <w:marTop w:val="0"/>
      <w:marBottom w:val="0"/>
      <w:divBdr>
        <w:top w:val="none" w:sz="0" w:space="0" w:color="auto"/>
        <w:left w:val="none" w:sz="0" w:space="0" w:color="auto"/>
        <w:bottom w:val="none" w:sz="0" w:space="0" w:color="auto"/>
        <w:right w:val="none" w:sz="0" w:space="0" w:color="auto"/>
      </w:divBdr>
    </w:div>
    <w:div w:id="1789271770">
      <w:bodyDiv w:val="1"/>
      <w:marLeft w:val="0"/>
      <w:marRight w:val="0"/>
      <w:marTop w:val="0"/>
      <w:marBottom w:val="0"/>
      <w:divBdr>
        <w:top w:val="none" w:sz="0" w:space="0" w:color="auto"/>
        <w:left w:val="none" w:sz="0" w:space="0" w:color="auto"/>
        <w:bottom w:val="none" w:sz="0" w:space="0" w:color="auto"/>
        <w:right w:val="none" w:sz="0" w:space="0" w:color="auto"/>
      </w:divBdr>
    </w:div>
    <w:div w:id="1804352117">
      <w:bodyDiv w:val="1"/>
      <w:marLeft w:val="0"/>
      <w:marRight w:val="0"/>
      <w:marTop w:val="0"/>
      <w:marBottom w:val="0"/>
      <w:divBdr>
        <w:top w:val="none" w:sz="0" w:space="0" w:color="auto"/>
        <w:left w:val="none" w:sz="0" w:space="0" w:color="auto"/>
        <w:bottom w:val="none" w:sz="0" w:space="0" w:color="auto"/>
        <w:right w:val="none" w:sz="0" w:space="0" w:color="auto"/>
      </w:divBdr>
    </w:div>
    <w:div w:id="1838575684">
      <w:bodyDiv w:val="1"/>
      <w:marLeft w:val="0"/>
      <w:marRight w:val="0"/>
      <w:marTop w:val="0"/>
      <w:marBottom w:val="0"/>
      <w:divBdr>
        <w:top w:val="none" w:sz="0" w:space="0" w:color="auto"/>
        <w:left w:val="none" w:sz="0" w:space="0" w:color="auto"/>
        <w:bottom w:val="none" w:sz="0" w:space="0" w:color="auto"/>
        <w:right w:val="none" w:sz="0" w:space="0" w:color="auto"/>
      </w:divBdr>
    </w:div>
    <w:div w:id="2062825705">
      <w:bodyDiv w:val="1"/>
      <w:marLeft w:val="0"/>
      <w:marRight w:val="0"/>
      <w:marTop w:val="0"/>
      <w:marBottom w:val="0"/>
      <w:divBdr>
        <w:top w:val="none" w:sz="0" w:space="0" w:color="auto"/>
        <w:left w:val="none" w:sz="0" w:space="0" w:color="auto"/>
        <w:bottom w:val="none" w:sz="0" w:space="0" w:color="auto"/>
        <w:right w:val="none" w:sz="0" w:space="0" w:color="auto"/>
      </w:divBdr>
    </w:div>
    <w:div w:id="2067609774">
      <w:bodyDiv w:val="1"/>
      <w:marLeft w:val="0"/>
      <w:marRight w:val="0"/>
      <w:marTop w:val="0"/>
      <w:marBottom w:val="0"/>
      <w:divBdr>
        <w:top w:val="none" w:sz="0" w:space="0" w:color="auto"/>
        <w:left w:val="none" w:sz="0" w:space="0" w:color="auto"/>
        <w:bottom w:val="none" w:sz="0" w:space="0" w:color="auto"/>
        <w:right w:val="none" w:sz="0" w:space="0" w:color="auto"/>
      </w:divBdr>
    </w:div>
    <w:div w:id="2084797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diagramLayout" Target="diagrams/layout1.xml"/><Relationship Id="rId26" Type="http://schemas.microsoft.com/office/2007/relationships/diagramDrawing" Target="diagrams/drawing2.xml"/><Relationship Id="rId39" Type="http://schemas.openxmlformats.org/officeDocument/2006/relationships/chart" Target="charts/chart7.xml"/><Relationship Id="rId21" Type="http://schemas.microsoft.com/office/2007/relationships/diagramDrawing" Target="diagrams/drawing1.xml"/><Relationship Id="rId34" Type="http://schemas.openxmlformats.org/officeDocument/2006/relationships/chart" Target="charts/chart2.xml"/><Relationship Id="rId42" Type="http://schemas.openxmlformats.org/officeDocument/2006/relationships/chart" Target="charts/chart10.xml"/><Relationship Id="rId47" Type="http://schemas.openxmlformats.org/officeDocument/2006/relationships/chart" Target="charts/chart15.xml"/><Relationship Id="rId50" Type="http://schemas.openxmlformats.org/officeDocument/2006/relationships/chart" Target="charts/chart18.xml"/><Relationship Id="rId55" Type="http://schemas.openxmlformats.org/officeDocument/2006/relationships/chart" Target="charts/chart23.xml"/><Relationship Id="rId63" Type="http://schemas.openxmlformats.org/officeDocument/2006/relationships/chart" Target="charts/chart31.xml"/><Relationship Id="rId68" Type="http://schemas.openxmlformats.org/officeDocument/2006/relationships/chart" Target="charts/chart36.xml"/><Relationship Id="rId76" Type="http://schemas.openxmlformats.org/officeDocument/2006/relationships/chart" Target="charts/chart44.xml"/><Relationship Id="rId84" Type="http://schemas.openxmlformats.org/officeDocument/2006/relationships/chart" Target="charts/chart52.xm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chart" Target="charts/chart39.xml"/><Relationship Id="rId92"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diagramQuickStyle" Target="diagrams/quickStyle3.xml"/><Relationship Id="rId11" Type="http://schemas.openxmlformats.org/officeDocument/2006/relationships/hyperlink" Target="http://www.savethechildren.org.uk/" TargetMode="External"/><Relationship Id="rId24" Type="http://schemas.openxmlformats.org/officeDocument/2006/relationships/diagramQuickStyle" Target="diagrams/quickStyle2.xml"/><Relationship Id="rId32" Type="http://schemas.openxmlformats.org/officeDocument/2006/relationships/chart" Target="charts/chart1.xml"/><Relationship Id="rId37" Type="http://schemas.openxmlformats.org/officeDocument/2006/relationships/chart" Target="charts/chart5.xml"/><Relationship Id="rId40" Type="http://schemas.openxmlformats.org/officeDocument/2006/relationships/chart" Target="charts/chart8.xml"/><Relationship Id="rId45" Type="http://schemas.openxmlformats.org/officeDocument/2006/relationships/chart" Target="charts/chart13.xml"/><Relationship Id="rId53" Type="http://schemas.openxmlformats.org/officeDocument/2006/relationships/chart" Target="charts/chart21.xml"/><Relationship Id="rId58" Type="http://schemas.openxmlformats.org/officeDocument/2006/relationships/chart" Target="charts/chart26.xml"/><Relationship Id="rId66" Type="http://schemas.openxmlformats.org/officeDocument/2006/relationships/chart" Target="charts/chart34.xml"/><Relationship Id="rId74" Type="http://schemas.openxmlformats.org/officeDocument/2006/relationships/chart" Target="charts/chart42.xml"/><Relationship Id="rId79" Type="http://schemas.openxmlformats.org/officeDocument/2006/relationships/chart" Target="charts/chart47.xml"/><Relationship Id="rId87"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chart" Target="charts/chart29.xml"/><Relationship Id="rId82" Type="http://schemas.openxmlformats.org/officeDocument/2006/relationships/chart" Target="charts/chart50.xml"/><Relationship Id="rId19" Type="http://schemas.openxmlformats.org/officeDocument/2006/relationships/diagramQuickStyle" Target="diagrams/quickStyle1.xml"/><Relationship Id="rId14" Type="http://schemas.openxmlformats.org/officeDocument/2006/relationships/oleObject" Target="embeddings/oleObject1.bin"/><Relationship Id="rId22" Type="http://schemas.openxmlformats.org/officeDocument/2006/relationships/diagramData" Target="diagrams/data2.xml"/><Relationship Id="rId27" Type="http://schemas.openxmlformats.org/officeDocument/2006/relationships/diagramData" Target="diagrams/data3.xml"/><Relationship Id="rId30" Type="http://schemas.openxmlformats.org/officeDocument/2006/relationships/diagramColors" Target="diagrams/colors3.xml"/><Relationship Id="rId35" Type="http://schemas.openxmlformats.org/officeDocument/2006/relationships/chart" Target="charts/chart3.xml"/><Relationship Id="rId43" Type="http://schemas.openxmlformats.org/officeDocument/2006/relationships/chart" Target="charts/chart11.xml"/><Relationship Id="rId48" Type="http://schemas.openxmlformats.org/officeDocument/2006/relationships/chart" Target="charts/chart16.xml"/><Relationship Id="rId56" Type="http://schemas.openxmlformats.org/officeDocument/2006/relationships/chart" Target="charts/chart24.xml"/><Relationship Id="rId64" Type="http://schemas.openxmlformats.org/officeDocument/2006/relationships/chart" Target="charts/chart32.xml"/><Relationship Id="rId69" Type="http://schemas.openxmlformats.org/officeDocument/2006/relationships/chart" Target="charts/chart37.xml"/><Relationship Id="rId77" Type="http://schemas.openxmlformats.org/officeDocument/2006/relationships/chart" Target="charts/chart45.xml"/><Relationship Id="rId8" Type="http://schemas.openxmlformats.org/officeDocument/2006/relationships/endnotes" Target="endnotes.xml"/><Relationship Id="rId51" Type="http://schemas.openxmlformats.org/officeDocument/2006/relationships/chart" Target="charts/chart19.xml"/><Relationship Id="rId72" Type="http://schemas.openxmlformats.org/officeDocument/2006/relationships/chart" Target="charts/chart40.xml"/><Relationship Id="rId80" Type="http://schemas.openxmlformats.org/officeDocument/2006/relationships/chart" Target="charts/chart48.xml"/><Relationship Id="rId85" Type="http://schemas.openxmlformats.org/officeDocument/2006/relationships/chart" Target="charts/chart53.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diagramData" Target="diagrams/data1.xml"/><Relationship Id="rId25" Type="http://schemas.openxmlformats.org/officeDocument/2006/relationships/diagramColors" Target="diagrams/colors2.xml"/><Relationship Id="rId33" Type="http://schemas.openxmlformats.org/officeDocument/2006/relationships/hyperlink" Target="http://www.btselem.org/arabic/planning_and_building/east_jerusalem_statistics" TargetMode="External"/><Relationship Id="rId38" Type="http://schemas.openxmlformats.org/officeDocument/2006/relationships/chart" Target="charts/chart6.xml"/><Relationship Id="rId46" Type="http://schemas.openxmlformats.org/officeDocument/2006/relationships/chart" Target="charts/chart14.xml"/><Relationship Id="rId59" Type="http://schemas.openxmlformats.org/officeDocument/2006/relationships/chart" Target="charts/chart27.xml"/><Relationship Id="rId67" Type="http://schemas.openxmlformats.org/officeDocument/2006/relationships/chart" Target="charts/chart35.xml"/><Relationship Id="rId20" Type="http://schemas.openxmlformats.org/officeDocument/2006/relationships/diagramColors" Target="diagrams/colors1.xml"/><Relationship Id="rId41" Type="http://schemas.openxmlformats.org/officeDocument/2006/relationships/chart" Target="charts/chart9.xml"/><Relationship Id="rId54" Type="http://schemas.openxmlformats.org/officeDocument/2006/relationships/chart" Target="charts/chart22.xml"/><Relationship Id="rId62" Type="http://schemas.openxmlformats.org/officeDocument/2006/relationships/chart" Target="charts/chart30.xml"/><Relationship Id="rId70" Type="http://schemas.openxmlformats.org/officeDocument/2006/relationships/chart" Target="charts/chart38.xml"/><Relationship Id="rId75" Type="http://schemas.openxmlformats.org/officeDocument/2006/relationships/chart" Target="charts/chart43.xml"/><Relationship Id="rId83" Type="http://schemas.openxmlformats.org/officeDocument/2006/relationships/chart" Target="charts/chart51.xml"/><Relationship Id="rId88" Type="http://schemas.openxmlformats.org/officeDocument/2006/relationships/fontTable" Target="fontTable.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diagramLayout" Target="diagrams/layout2.xml"/><Relationship Id="rId28" Type="http://schemas.openxmlformats.org/officeDocument/2006/relationships/diagramLayout" Target="diagrams/layout3.xml"/><Relationship Id="rId36" Type="http://schemas.openxmlformats.org/officeDocument/2006/relationships/chart" Target="charts/chart4.xml"/><Relationship Id="rId49" Type="http://schemas.openxmlformats.org/officeDocument/2006/relationships/chart" Target="charts/chart17.xml"/><Relationship Id="rId57" Type="http://schemas.openxmlformats.org/officeDocument/2006/relationships/chart" Target="charts/chart25.xml"/><Relationship Id="rId10" Type="http://schemas.openxmlformats.org/officeDocument/2006/relationships/image" Target="media/image2.png"/><Relationship Id="rId31" Type="http://schemas.microsoft.com/office/2007/relationships/diagramDrawing" Target="diagrams/drawing3.xml"/><Relationship Id="rId44" Type="http://schemas.openxmlformats.org/officeDocument/2006/relationships/chart" Target="charts/chart12.xml"/><Relationship Id="rId52" Type="http://schemas.openxmlformats.org/officeDocument/2006/relationships/chart" Target="charts/chart20.xml"/><Relationship Id="rId60" Type="http://schemas.openxmlformats.org/officeDocument/2006/relationships/chart" Target="charts/chart28.xml"/><Relationship Id="rId65" Type="http://schemas.openxmlformats.org/officeDocument/2006/relationships/chart" Target="charts/chart33.xml"/><Relationship Id="rId73" Type="http://schemas.openxmlformats.org/officeDocument/2006/relationships/chart" Target="charts/chart41.xml"/><Relationship Id="rId78" Type="http://schemas.openxmlformats.org/officeDocument/2006/relationships/chart" Target="charts/chart46.xml"/><Relationship Id="rId81" Type="http://schemas.openxmlformats.org/officeDocument/2006/relationships/chart" Target="charts/chart49.xml"/><Relationship Id="rId86"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s>
</file>

<file path=word/_rels/footnotes.xml.rels><?xml version="1.0" encoding="UTF-8" standalone="yes"?>
<Relationships xmlns="http://schemas.openxmlformats.org/package/2006/relationships"><Relationship Id="rId3" Type="http://schemas.openxmlformats.org/officeDocument/2006/relationships/hyperlink" Target="http://www.unicef.org/oPt/Children_in_Israeli_Military_Detention_-_Observations_and_Recommendations_-%20_Bulletin_No._2_-_February_2015.pdf" TargetMode="External"/><Relationship Id="rId2" Type="http://schemas.openxmlformats.org/officeDocument/2006/relationships/hyperlink" Target="http://www.unicef.org/appeals/state_of_palestine_sitreps.html" TargetMode="External"/><Relationship Id="rId1" Type="http://schemas.openxmlformats.org/officeDocument/2006/relationships/hyperlink" Target="http://www.btselem.org/arabic/planning_and_building/east_jerusalem_statistics" TargetMode="External"/><Relationship Id="rId4" Type="http://schemas.openxmlformats.org/officeDocument/2006/relationships/hyperlink" Target="http://arabic.dci-palestine.org/statistics"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oleObject" Target="file:///C:\Users\kakhalid\Documents\unicef%202014\ALL_PMICS_05012015\ALL_PMICS_11.12.2014\Graphs%20for%20Final%20report\Ch04b%20Figures.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akhalid\Documents\unicef%202014\ALL_PMICS_05012015\ALL_PMICS_11.12.2014\Graphs%20for%20Final%20report\Ch04b%20Figures.xlsx" TargetMode="Externa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Office_Excel_Worksheet23.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_Worksheet24.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Office_Excel_Worksheet25.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Office_Excel_Worksheet26.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Office_Excel_Worksheet27.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Office_Excel_Worksheet28.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Office_Excel_Worksheet29.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Office_Excel_Worksheet30.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Office_Excel_Worksheet31.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Office_Excel_Worksheet32.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Office_Excel_Worksheet33.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Office_Excel_Worksheet34.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Office_Excel_Worksheet35.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Office_Excel_Worksheet36.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Office_Excel_Worksheet37.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Office_Excel_Worksheet38.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Office_Excel_Worksheet39.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Office_Excel_Worksheet40.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Office_Excel_Worksheet41.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Office_Excel_Worksheet42.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Office_Excel_Worksheet43.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Office_Excel_Worksheet44.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Office_Excel_Worksheet45.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Office_Excel_Worksheet46.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Microsoft_Office_Excel_Worksheet47.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50.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48.xlsx"/></Relationships>
</file>

<file path=word/charts/_rels/chart51.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Office_Excel_Worksheet49.xlsx"/></Relationships>
</file>

<file path=word/charts/_rels/chart52.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Office_Excel_Worksheet50.xlsx"/></Relationships>
</file>

<file path=word/charts/_rels/chart53.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Office_Excel_Worksheet51.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strRef>
              <c:f>Sheet1!$B$1</c:f>
              <c:strCache>
                <c:ptCount val="1"/>
                <c:pt idx="0">
                  <c:v>Column1</c:v>
                </c:pt>
              </c:strCache>
            </c:strRef>
          </c:tx>
          <c:dLbls>
            <c:dLbl>
              <c:idx val="0"/>
              <c:layout>
                <c:manualLayout>
                  <c:x val="-6.0185185185185147E-2"/>
                  <c:y val="-6.8819137333860914E-2"/>
                </c:manualLayout>
              </c:layout>
              <c:showVal val="1"/>
              <c:extLst>
                <c:ext xmlns:c15="http://schemas.microsoft.com/office/drawing/2012/chart" uri="{CE6537A1-D6FC-4f65-9D91-7224C49458BB}"/>
              </c:extLst>
            </c:dLbl>
            <c:dLbl>
              <c:idx val="1"/>
              <c:layout>
                <c:manualLayout>
                  <c:x val="-2.3148148148148147E-2"/>
                  <c:y val="-6.6971080669710789E-2"/>
                </c:manualLayout>
              </c:layout>
              <c:showVal val="1"/>
              <c:extLst>
                <c:ext xmlns:c15="http://schemas.microsoft.com/office/drawing/2012/chart" uri="{CE6537A1-D6FC-4f65-9D91-7224C49458BB}"/>
              </c:extLst>
            </c:dLbl>
            <c:dLbl>
              <c:idx val="5"/>
              <c:layout>
                <c:manualLayout>
                  <c:x val="-1.3888888888889523E-2"/>
                  <c:y val="-4.8706240487062395E-2"/>
                </c:manualLayout>
              </c:layout>
              <c:showVal val="1"/>
              <c:extLst>
                <c:ext xmlns:c15="http://schemas.microsoft.com/office/drawing/2012/chart" uri="{CE6537A1-D6FC-4f65-9D91-7224C49458BB}"/>
              </c:extLst>
            </c:dLbl>
            <c:dLbl>
              <c:idx val="6"/>
              <c:layout>
                <c:manualLayout>
                  <c:x val="-2.0833333333334012E-2"/>
                  <c:y val="-6.0882800608827926E-2"/>
                </c:manualLayout>
              </c:layout>
              <c:showVal val="1"/>
              <c:extLst>
                <c:ext xmlns:c15="http://schemas.microsoft.com/office/drawing/2012/chart" uri="{CE6537A1-D6FC-4f65-9D91-7224C49458BB}"/>
              </c:extLst>
            </c:dLbl>
            <c:dLbl>
              <c:idx val="7"/>
              <c:layout>
                <c:manualLayout>
                  <c:x val="-2.5462962962963978E-2"/>
                  <c:y val="-7.9147640791476404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Sheet1!$A$2:$A$9</c:f>
              <c:numCache>
                <c:formatCode>General</c:formatCode>
                <c:ptCount val="8"/>
                <c:pt idx="0">
                  <c:v>2005</c:v>
                </c:pt>
                <c:pt idx="1">
                  <c:v>2006</c:v>
                </c:pt>
                <c:pt idx="2">
                  <c:v>2007</c:v>
                </c:pt>
                <c:pt idx="3">
                  <c:v>2008</c:v>
                </c:pt>
                <c:pt idx="4">
                  <c:v>2009</c:v>
                </c:pt>
                <c:pt idx="5">
                  <c:v>2010</c:v>
                </c:pt>
                <c:pt idx="6">
                  <c:v>2011</c:v>
                </c:pt>
                <c:pt idx="7">
                  <c:v>2012</c:v>
                </c:pt>
              </c:numCache>
            </c:numRef>
          </c:cat>
          <c:val>
            <c:numRef>
              <c:f>Sheet1!$B$2:$B$9</c:f>
              <c:numCache>
                <c:formatCode>#,##0</c:formatCode>
                <c:ptCount val="8"/>
                <c:pt idx="0" formatCode="General">
                  <c:v>222</c:v>
                </c:pt>
                <c:pt idx="1">
                  <c:v>1363</c:v>
                </c:pt>
                <c:pt idx="2" formatCode="General">
                  <c:v>289</c:v>
                </c:pt>
                <c:pt idx="3">
                  <c:v>4577</c:v>
                </c:pt>
                <c:pt idx="4" formatCode="General">
                  <c:v>725</c:v>
                </c:pt>
                <c:pt idx="5" formatCode="General">
                  <c:v>191</c:v>
                </c:pt>
                <c:pt idx="6" formatCode="General">
                  <c:v>101</c:v>
                </c:pt>
                <c:pt idx="7" formatCode="General">
                  <c:v>116</c:v>
                </c:pt>
              </c:numCache>
            </c:numRef>
          </c:val>
        </c:ser>
        <c:marker val="1"/>
        <c:axId val="203110656"/>
        <c:axId val="203116544"/>
      </c:lineChart>
      <c:catAx>
        <c:axId val="203110656"/>
        <c:scaling>
          <c:orientation val="minMax"/>
        </c:scaling>
        <c:axPos val="b"/>
        <c:numFmt formatCode="General" sourceLinked="1"/>
        <c:tickLblPos val="nextTo"/>
        <c:crossAx val="203116544"/>
        <c:crosses val="autoZero"/>
        <c:auto val="1"/>
        <c:lblAlgn val="ctr"/>
        <c:lblOffset val="100"/>
      </c:catAx>
      <c:valAx>
        <c:axId val="203116544"/>
        <c:scaling>
          <c:orientation val="minMax"/>
          <c:max val="5000"/>
          <c:min val="0"/>
        </c:scaling>
        <c:axPos val="l"/>
        <c:majorGridlines/>
        <c:numFmt formatCode="General" sourceLinked="1"/>
        <c:tickLblPos val="nextTo"/>
        <c:crossAx val="203110656"/>
        <c:crosses val="autoZero"/>
        <c:crossBetween val="between"/>
        <c:majorUnit val="1000"/>
        <c:minorUnit val="1"/>
      </c:valAx>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4573613799929012E-2"/>
          <c:y val="0.12038591329929911"/>
          <c:w val="0.92117059788694156"/>
          <c:h val="0.62338043361021633"/>
        </c:manualLayout>
      </c:layout>
      <c:barChart>
        <c:barDir val="col"/>
        <c:grouping val="clustered"/>
        <c:ser>
          <c:idx val="1"/>
          <c:order val="0"/>
          <c:tx>
            <c:strRef>
              <c:f>Sheet1!$A$3</c:f>
              <c:strCache>
                <c:ptCount val="1"/>
                <c:pt idx="0">
                  <c:v>2007/2008</c:v>
                </c:pt>
              </c:strCache>
            </c:strRef>
          </c:tx>
          <c:spPr>
            <a:ln w="12700">
              <a:noFill/>
              <a:prstDash val="solid"/>
            </a:ln>
          </c:spPr>
          <c:dLbls>
            <c:spPr>
              <a:noFill/>
              <a:ln>
                <a:noFill/>
              </a:ln>
              <a:effectLst/>
            </c:spPr>
            <c:txPr>
              <a:bodyPr/>
              <a:lstStyle/>
              <a:p>
                <a:pPr>
                  <a:defRPr>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Sheet1!$B$3:$G$3</c:f>
              <c:numCache>
                <c:formatCode>0</c:formatCode>
                <c:ptCount val="6"/>
                <c:pt idx="0">
                  <c:v>43</c:v>
                </c:pt>
                <c:pt idx="1">
                  <c:v>35</c:v>
                </c:pt>
                <c:pt idx="2">
                  <c:v>34</c:v>
                </c:pt>
                <c:pt idx="3">
                  <c:v>31</c:v>
                </c:pt>
                <c:pt idx="4">
                  <c:v>62</c:v>
                </c:pt>
                <c:pt idx="5">
                  <c:v>50</c:v>
                </c:pt>
              </c:numCache>
            </c:numRef>
          </c:val>
        </c:ser>
        <c:ser>
          <c:idx val="0"/>
          <c:order val="1"/>
          <c:tx>
            <c:strRef>
              <c:f>Sheet1!$A$4</c:f>
              <c:strCache>
                <c:ptCount val="1"/>
                <c:pt idx="0">
                  <c:v>2009/2010</c:v>
                </c:pt>
              </c:strCache>
            </c:strRef>
          </c:tx>
          <c:spPr>
            <a:solidFill>
              <a:srgbClr val="F79646">
                <a:lumMod val="40000"/>
                <a:lumOff val="60000"/>
              </a:srgbClr>
            </a:solidFill>
          </c:spPr>
          <c:dLbls>
            <c:spPr>
              <a:noFill/>
              <a:ln>
                <a:noFill/>
              </a:ln>
              <a:effectLst/>
            </c:spPr>
            <c:txPr>
              <a:bodyPr/>
              <a:lstStyle/>
              <a:p>
                <a:pPr>
                  <a:defRPr>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Sheet1!$B$4:$G$4</c:f>
              <c:numCache>
                <c:formatCode>0</c:formatCode>
                <c:ptCount val="6"/>
                <c:pt idx="0">
                  <c:v>50</c:v>
                </c:pt>
                <c:pt idx="1">
                  <c:v>47</c:v>
                </c:pt>
                <c:pt idx="2">
                  <c:v>29</c:v>
                </c:pt>
                <c:pt idx="3">
                  <c:v>27</c:v>
                </c:pt>
                <c:pt idx="4">
                  <c:v>55</c:v>
                </c:pt>
                <c:pt idx="5">
                  <c:v>45</c:v>
                </c:pt>
              </c:numCache>
            </c:numRef>
          </c:val>
        </c:ser>
        <c:ser>
          <c:idx val="2"/>
          <c:order val="2"/>
          <c:tx>
            <c:strRef>
              <c:f>Sheet1!$A$5</c:f>
              <c:strCache>
                <c:ptCount val="1"/>
                <c:pt idx="0">
                  <c:v>2011/2012</c:v>
                </c:pt>
              </c:strCache>
            </c:strRef>
          </c:tx>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Sheet1!$B$5:$G$5</c:f>
              <c:numCache>
                <c:formatCode>0</c:formatCode>
                <c:ptCount val="6"/>
                <c:pt idx="0">
                  <c:v>49</c:v>
                </c:pt>
                <c:pt idx="1">
                  <c:v>45</c:v>
                </c:pt>
                <c:pt idx="2">
                  <c:v>36</c:v>
                </c:pt>
                <c:pt idx="3">
                  <c:v>30</c:v>
                </c:pt>
                <c:pt idx="4">
                  <c:v>66</c:v>
                </c:pt>
                <c:pt idx="5">
                  <c:v>53</c:v>
                </c:pt>
              </c:numCache>
            </c:numRef>
          </c:val>
        </c:ser>
        <c:axId val="203176576"/>
        <c:axId val="203182464"/>
      </c:barChart>
      <c:catAx>
        <c:axId val="203176576"/>
        <c:scaling>
          <c:orientation val="minMax"/>
        </c:scaling>
        <c:axPos val="b"/>
        <c:numFmt formatCode="#,##0.0" sourceLinked="0"/>
        <c:maj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203182464"/>
        <c:crosses val="autoZero"/>
        <c:auto val="1"/>
        <c:lblAlgn val="ctr"/>
        <c:lblOffset val="100"/>
        <c:tickLblSkip val="1"/>
        <c:tickMarkSkip val="1"/>
      </c:catAx>
      <c:valAx>
        <c:axId val="203182464"/>
        <c:scaling>
          <c:orientation val="minMax"/>
        </c:scaling>
        <c:axPos val="l"/>
        <c:majorGridlines/>
        <c:numFmt formatCode="#,##0" sourceLinked="0"/>
        <c:maj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203176576"/>
        <c:crosses val="autoZero"/>
        <c:crossBetween val="between"/>
      </c:valAx>
      <c:spPr>
        <a:noFill/>
        <a:ln w="25400">
          <a:noFill/>
        </a:ln>
      </c:spPr>
    </c:plotArea>
    <c:legend>
      <c:legendPos val="t"/>
      <c:layout>
        <c:manualLayout>
          <c:xMode val="edge"/>
          <c:yMode val="edge"/>
          <c:x val="0.24028440215646818"/>
          <c:y val="2.197802197802199E-2"/>
          <c:w val="0.42681818576429803"/>
          <c:h val="8.3736755127833531E-2"/>
        </c:manualLayout>
      </c:layout>
      <c:txPr>
        <a:bodyPr/>
        <a:lstStyle/>
        <a:p>
          <a:pPr>
            <a:defRPr sz="900">
              <a:latin typeface="Arial" pitchFamily="34" charset="0"/>
              <a:cs typeface="Arial" pitchFamily="34" charset="0"/>
            </a:defRPr>
          </a:pPr>
          <a:endParaRPr lang="en-US"/>
        </a:p>
      </c:txPr>
    </c:legend>
    <c:plotVisOnly val="1"/>
    <c:dispBlanksAs val="gap"/>
  </c:chart>
  <c:spPr>
    <a:noFill/>
    <a:ln w="3175">
      <a:solidFill>
        <a:srgbClr val="000000"/>
      </a:solidFill>
      <a:prstDash val="solid"/>
    </a:ln>
    <a:effectLst>
      <a:outerShdw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4573613799929012E-2"/>
          <c:y val="0.12038591329929911"/>
          <c:w val="0.92117059788694156"/>
          <c:h val="0.62338043361021656"/>
        </c:manualLayout>
      </c:layout>
      <c:barChart>
        <c:barDir val="col"/>
        <c:grouping val="clustered"/>
        <c:ser>
          <c:idx val="1"/>
          <c:order val="0"/>
          <c:tx>
            <c:strRef>
              <c:f>Sheet1!$A$3</c:f>
              <c:strCache>
                <c:ptCount val="1"/>
                <c:pt idx="0">
                  <c:v>2007/2008</c:v>
                </c:pt>
              </c:strCache>
            </c:strRef>
          </c:tx>
          <c:spPr>
            <a:ln w="12700">
              <a:noFill/>
              <a:prstDash val="solid"/>
            </a:ln>
          </c:spPr>
          <c:dLbls>
            <c:spPr>
              <a:noFill/>
              <a:ln>
                <a:noFill/>
              </a:ln>
              <a:effectLst/>
            </c:spPr>
            <c:txPr>
              <a:bodyPr/>
              <a:lstStyle/>
              <a:p>
                <a:pPr>
                  <a:defRPr>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Sheet1!$B$3:$G$3</c:f>
              <c:numCache>
                <c:formatCode>0</c:formatCode>
                <c:ptCount val="6"/>
                <c:pt idx="0">
                  <c:v>40</c:v>
                </c:pt>
                <c:pt idx="1">
                  <c:v>34</c:v>
                </c:pt>
                <c:pt idx="2">
                  <c:v>24</c:v>
                </c:pt>
                <c:pt idx="3">
                  <c:v>20</c:v>
                </c:pt>
                <c:pt idx="4">
                  <c:v>49</c:v>
                </c:pt>
                <c:pt idx="5">
                  <c:v>38</c:v>
                </c:pt>
              </c:numCache>
            </c:numRef>
          </c:val>
        </c:ser>
        <c:ser>
          <c:idx val="0"/>
          <c:order val="1"/>
          <c:tx>
            <c:strRef>
              <c:f>Sheet1!$A$4</c:f>
              <c:strCache>
                <c:ptCount val="1"/>
                <c:pt idx="0">
                  <c:v>2009/2010</c:v>
                </c:pt>
              </c:strCache>
            </c:strRef>
          </c:tx>
          <c:spPr>
            <a:solidFill>
              <a:srgbClr val="F79646">
                <a:lumMod val="40000"/>
                <a:lumOff val="60000"/>
              </a:srgbClr>
            </a:solidFill>
          </c:spPr>
          <c:dLbls>
            <c:spPr>
              <a:noFill/>
              <a:ln>
                <a:noFill/>
              </a:ln>
              <a:effectLst/>
            </c:spPr>
            <c:txPr>
              <a:bodyPr/>
              <a:lstStyle/>
              <a:p>
                <a:pPr>
                  <a:defRPr>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Sheet1!$B$4:$G$4</c:f>
              <c:numCache>
                <c:formatCode>0</c:formatCode>
                <c:ptCount val="6"/>
                <c:pt idx="0">
                  <c:v>37</c:v>
                </c:pt>
                <c:pt idx="1">
                  <c:v>30</c:v>
                </c:pt>
                <c:pt idx="2">
                  <c:v>34</c:v>
                </c:pt>
                <c:pt idx="3">
                  <c:v>27</c:v>
                </c:pt>
                <c:pt idx="4">
                  <c:v>55</c:v>
                </c:pt>
                <c:pt idx="5">
                  <c:v>45</c:v>
                </c:pt>
              </c:numCache>
            </c:numRef>
          </c:val>
        </c:ser>
        <c:ser>
          <c:idx val="2"/>
          <c:order val="2"/>
          <c:tx>
            <c:strRef>
              <c:f>Sheet1!$A$5</c:f>
              <c:strCache>
                <c:ptCount val="1"/>
                <c:pt idx="0">
                  <c:v>2011/2012</c:v>
                </c:pt>
              </c:strCache>
            </c:strRef>
          </c:tx>
          <c:dLbls>
            <c:spPr>
              <a:noFill/>
              <a:ln>
                <a:noFill/>
              </a:ln>
              <a:effectLst/>
            </c:spPr>
            <c:txPr>
              <a:bodyPr/>
              <a:lstStyle/>
              <a:p>
                <a:pPr>
                  <a:defRPr>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Sheet1!$B$5:$G$5</c:f>
              <c:numCache>
                <c:formatCode>0</c:formatCode>
                <c:ptCount val="6"/>
                <c:pt idx="0">
                  <c:v>37</c:v>
                </c:pt>
                <c:pt idx="1">
                  <c:v>30</c:v>
                </c:pt>
                <c:pt idx="2">
                  <c:v>30</c:v>
                </c:pt>
                <c:pt idx="3">
                  <c:v>27</c:v>
                </c:pt>
                <c:pt idx="4">
                  <c:v>55</c:v>
                </c:pt>
                <c:pt idx="5">
                  <c:v>45</c:v>
                </c:pt>
              </c:numCache>
            </c:numRef>
          </c:val>
        </c:ser>
        <c:axId val="205035776"/>
        <c:axId val="205058048"/>
      </c:barChart>
      <c:catAx>
        <c:axId val="205035776"/>
        <c:scaling>
          <c:orientation val="minMax"/>
        </c:scaling>
        <c:axPos val="b"/>
        <c:numFmt formatCode="#,##0.0" sourceLinked="0"/>
        <c:maj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205058048"/>
        <c:crosses val="autoZero"/>
        <c:auto val="1"/>
        <c:lblAlgn val="ctr"/>
        <c:lblOffset val="100"/>
        <c:tickLblSkip val="1"/>
        <c:tickMarkSkip val="1"/>
      </c:catAx>
      <c:valAx>
        <c:axId val="205058048"/>
        <c:scaling>
          <c:orientation val="minMax"/>
        </c:scaling>
        <c:axPos val="l"/>
        <c:majorGridlines/>
        <c:numFmt formatCode="#,##0" sourceLinked="0"/>
        <c:maj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205035776"/>
        <c:crosses val="autoZero"/>
        <c:crossBetween val="between"/>
      </c:valAx>
      <c:spPr>
        <a:noFill/>
        <a:ln w="25400">
          <a:noFill/>
        </a:ln>
      </c:spPr>
    </c:plotArea>
    <c:legend>
      <c:legendPos val="t"/>
      <c:layout>
        <c:manualLayout>
          <c:xMode val="edge"/>
          <c:yMode val="edge"/>
          <c:x val="0.24028440215646832"/>
          <c:y val="2.197802197802199E-2"/>
          <c:w val="0.42681818576429836"/>
          <c:h val="7.2371912415057707E-2"/>
        </c:manualLayout>
      </c:layout>
      <c:txPr>
        <a:bodyPr/>
        <a:lstStyle/>
        <a:p>
          <a:pPr>
            <a:defRPr sz="900">
              <a:latin typeface="Arial" pitchFamily="34" charset="0"/>
              <a:cs typeface="Arial" pitchFamily="34" charset="0"/>
            </a:defRPr>
          </a:pPr>
          <a:endParaRPr lang="en-US"/>
        </a:p>
      </c:txPr>
    </c:legend>
    <c:plotVisOnly val="1"/>
    <c:dispBlanksAs val="gap"/>
  </c:chart>
  <c:spPr>
    <a:noFill/>
    <a:ln w="3175">
      <a:solidFill>
        <a:srgbClr val="000000"/>
      </a:solidFill>
      <a:prstDash val="solid"/>
    </a:ln>
    <a:effectLst>
      <a:outerShdw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US"/>
  <c:chart>
    <c:plotArea>
      <c:layout/>
      <c:lineChart>
        <c:grouping val="standard"/>
        <c:ser>
          <c:idx val="0"/>
          <c:order val="0"/>
          <c:tx>
            <c:strRef>
              <c:f>Sheet1!$B$1</c:f>
              <c:strCache>
                <c:ptCount val="1"/>
                <c:pt idx="0">
                  <c:v>Male</c:v>
                </c:pt>
              </c:strCache>
            </c:strRef>
          </c:tx>
          <c:dLbls>
            <c:dLbl>
              <c:idx val="0"/>
              <c:layout>
                <c:manualLayout>
                  <c:x val="-1.3888888888889573E-2"/>
                  <c:y val="0.11049723756906055"/>
                </c:manualLayout>
              </c:layout>
              <c:showVal val="1"/>
              <c:extLst>
                <c:ext xmlns:c15="http://schemas.microsoft.com/office/drawing/2012/chart" uri="{CE6537A1-D6FC-4f65-9D91-7224C49458BB}"/>
              </c:extLst>
            </c:dLbl>
            <c:dLbl>
              <c:idx val="1"/>
              <c:layout>
                <c:manualLayout>
                  <c:x val="-2.3148148148148147E-2"/>
                  <c:y val="0.11049723756906055"/>
                </c:manualLayout>
              </c:layout>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numRef>
              <c:f>Sheet1!$A$2:$A$4</c:f>
              <c:numCache>
                <c:formatCode>General</c:formatCode>
                <c:ptCount val="3"/>
                <c:pt idx="0">
                  <c:v>2009</c:v>
                </c:pt>
                <c:pt idx="1">
                  <c:v>2010</c:v>
                </c:pt>
                <c:pt idx="2">
                  <c:v>2011</c:v>
                </c:pt>
              </c:numCache>
            </c:numRef>
          </c:cat>
          <c:val>
            <c:numRef>
              <c:f>Sheet1!$B$2:$B$4</c:f>
              <c:numCache>
                <c:formatCode>0.0</c:formatCode>
                <c:ptCount val="3"/>
                <c:pt idx="0">
                  <c:v>22.9</c:v>
                </c:pt>
                <c:pt idx="1">
                  <c:v>23.5</c:v>
                </c:pt>
                <c:pt idx="2">
                  <c:v>25.1</c:v>
                </c:pt>
              </c:numCache>
            </c:numRef>
          </c:val>
        </c:ser>
        <c:ser>
          <c:idx val="1"/>
          <c:order val="1"/>
          <c:tx>
            <c:strRef>
              <c:f>Sheet1!$C$1</c:f>
              <c:strCache>
                <c:ptCount val="1"/>
                <c:pt idx="0">
                  <c:v>Female</c:v>
                </c:pt>
              </c:strCache>
            </c:strRef>
          </c:tx>
          <c:dLbls>
            <c:dLbl>
              <c:idx val="0"/>
              <c:layout>
                <c:manualLayout>
                  <c:x val="-3.7037037037037056E-2"/>
                  <c:y val="0.11049723756906055"/>
                </c:manualLayout>
              </c:layout>
              <c:showVal val="1"/>
              <c:extLst>
                <c:ext xmlns:c15="http://schemas.microsoft.com/office/drawing/2012/chart" uri="{CE6537A1-D6FC-4f65-9D91-7224C49458BB}"/>
              </c:extLst>
            </c:dLbl>
            <c:dLbl>
              <c:idx val="1"/>
              <c:layout>
                <c:manualLayout>
                  <c:x val="-4.6296296296296523E-2"/>
                  <c:y val="0.11786372007366921"/>
                </c:manualLayout>
              </c:layout>
              <c:showVal val="1"/>
              <c:extLst>
                <c:ext xmlns:c15="http://schemas.microsoft.com/office/drawing/2012/chart" uri="{CE6537A1-D6FC-4f65-9D91-7224C49458BB}"/>
              </c:extLst>
            </c:dLbl>
            <c:dLbl>
              <c:idx val="2"/>
              <c:layout>
                <c:manualLayout>
                  <c:x val="-5.0925925925926124E-2"/>
                  <c:y val="0.10313075506445672"/>
                </c:manualLayout>
              </c:layout>
              <c:tx>
                <c:rich>
                  <a:bodyPr/>
                  <a:lstStyle/>
                  <a:p>
                    <a:r>
                      <a:rPr lang="en-US" sz="900">
                        <a:latin typeface="Arial" pitchFamily="34" charset="0"/>
                        <a:cs typeface="Arial" pitchFamily="34" charset="0"/>
                      </a:rPr>
                      <a:t>3</a:t>
                    </a:r>
                    <a:r>
                      <a:rPr lang="en-US" sz="900"/>
                      <a:t>2.4</a:t>
                    </a:r>
                  </a:p>
                </c:rich>
              </c:tx>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numRef>
              <c:f>Sheet1!$A$2:$A$4</c:f>
              <c:numCache>
                <c:formatCode>General</c:formatCode>
                <c:ptCount val="3"/>
                <c:pt idx="0">
                  <c:v>2009</c:v>
                </c:pt>
                <c:pt idx="1">
                  <c:v>2010</c:v>
                </c:pt>
                <c:pt idx="2">
                  <c:v>2011</c:v>
                </c:pt>
              </c:numCache>
            </c:numRef>
          </c:cat>
          <c:val>
            <c:numRef>
              <c:f>Sheet1!$C$2:$C$4</c:f>
              <c:numCache>
                <c:formatCode>0.0</c:formatCode>
                <c:ptCount val="3"/>
                <c:pt idx="0">
                  <c:v>30.7</c:v>
                </c:pt>
                <c:pt idx="1">
                  <c:v>31.4</c:v>
                </c:pt>
                <c:pt idx="2">
                  <c:v>32.4</c:v>
                </c:pt>
              </c:numCache>
            </c:numRef>
          </c:val>
        </c:ser>
        <c:marker val="1"/>
        <c:axId val="204788480"/>
        <c:axId val="204790016"/>
      </c:lineChart>
      <c:catAx>
        <c:axId val="204788480"/>
        <c:scaling>
          <c:orientation val="minMax"/>
        </c:scaling>
        <c:axPos val="b"/>
        <c:numFmt formatCode="General" sourceLinked="1"/>
        <c:tickLblPos val="nextTo"/>
        <c:crossAx val="204790016"/>
        <c:crosses val="autoZero"/>
        <c:auto val="1"/>
        <c:lblAlgn val="ctr"/>
        <c:lblOffset val="100"/>
      </c:catAx>
      <c:valAx>
        <c:axId val="204790016"/>
        <c:scaling>
          <c:orientation val="minMax"/>
          <c:max val="35"/>
          <c:min val="15"/>
        </c:scaling>
        <c:axPos val="l"/>
        <c:majorGridlines/>
        <c:numFmt formatCode="0.0" sourceLinked="1"/>
        <c:tickLblPos val="nextTo"/>
        <c:crossAx val="204788480"/>
        <c:crosses val="autoZero"/>
        <c:crossBetween val="between"/>
        <c:majorUnit val="5"/>
        <c:minorUnit val="1"/>
      </c:valAx>
    </c:plotArea>
    <c:legend>
      <c:legendPos val="r"/>
      <c:spPr>
        <a:ln w="22225">
          <a:solidFill>
            <a:schemeClr val="accent1"/>
          </a:solidFill>
        </a:ln>
      </c:spPr>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5.9990339749199033E-2"/>
          <c:y val="5.1994125734283213E-2"/>
          <c:w val="0.91454669728783899"/>
          <c:h val="0.69515873015873064"/>
        </c:manualLayout>
      </c:layout>
      <c:lineChart>
        <c:grouping val="standard"/>
        <c:ser>
          <c:idx val="0"/>
          <c:order val="0"/>
          <c:tx>
            <c:strRef>
              <c:f>Sheet1!$B$1</c:f>
              <c:strCache>
                <c:ptCount val="1"/>
                <c:pt idx="0">
                  <c:v>government basic</c:v>
                </c:pt>
              </c:strCache>
            </c:strRef>
          </c:tx>
          <c:dLbls>
            <c:dLbl>
              <c:idx val="0"/>
              <c:layout>
                <c:manualLayout>
                  <c:x val="-2.7752084940399078E-2"/>
                  <c:y val="-5.4434894111518861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2009/2010</c:v>
                </c:pt>
                <c:pt idx="1">
                  <c:v>2010/2011</c:v>
                </c:pt>
                <c:pt idx="2">
                  <c:v>2011/2012</c:v>
                </c:pt>
                <c:pt idx="3">
                  <c:v>2012/2013</c:v>
                </c:pt>
                <c:pt idx="4">
                  <c:v>2013/2014</c:v>
                </c:pt>
              </c:strCache>
            </c:strRef>
          </c:cat>
          <c:val>
            <c:numRef>
              <c:f>Sheet1!$B$2:$B$6</c:f>
              <c:numCache>
                <c:formatCode>0.0</c:formatCode>
                <c:ptCount val="5"/>
                <c:pt idx="0">
                  <c:v>31.5</c:v>
                </c:pt>
                <c:pt idx="1">
                  <c:v>30.8</c:v>
                </c:pt>
                <c:pt idx="2">
                  <c:v>30.5</c:v>
                </c:pt>
                <c:pt idx="3">
                  <c:v>30.2</c:v>
                </c:pt>
                <c:pt idx="4">
                  <c:v>30.1</c:v>
                </c:pt>
              </c:numCache>
            </c:numRef>
          </c:val>
        </c:ser>
        <c:ser>
          <c:idx val="1"/>
          <c:order val="1"/>
          <c:tx>
            <c:strRef>
              <c:f>Sheet1!$C$1</c:f>
              <c:strCache>
                <c:ptCount val="1"/>
                <c:pt idx="0">
                  <c:v>UNRWA Basic</c:v>
                </c:pt>
              </c:strCache>
            </c:strRef>
          </c:tx>
          <c:marker>
            <c:symbol val="none"/>
          </c:marker>
          <c:dLbls>
            <c:dLbl>
              <c:idx val="0"/>
              <c:layout>
                <c:manualLayout>
                  <c:x val="-5.7870370370370371E-2"/>
                  <c:y val="-1.5873015873015889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layout>
                <c:manualLayout>
                  <c:x val="-1.8518518518518583E-2"/>
                  <c:y val="-4.3650793650793704E-2"/>
                </c:manualLayout>
              </c:layout>
              <c:showVal val="1"/>
              <c:extLst>
                <c:ext xmlns:c15="http://schemas.microsoft.com/office/drawing/2012/chart" uri="{CE6537A1-D6FC-4f65-9D91-7224C49458BB}"/>
              </c:extLst>
            </c:dLbl>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2009/2010</c:v>
                </c:pt>
                <c:pt idx="1">
                  <c:v>2010/2011</c:v>
                </c:pt>
                <c:pt idx="2">
                  <c:v>2011/2012</c:v>
                </c:pt>
                <c:pt idx="3">
                  <c:v>2012/2013</c:v>
                </c:pt>
                <c:pt idx="4">
                  <c:v>2013/2014</c:v>
                </c:pt>
              </c:strCache>
            </c:strRef>
          </c:cat>
          <c:val>
            <c:numRef>
              <c:f>Sheet1!$C$2:$C$6</c:f>
              <c:numCache>
                <c:formatCode>0.0</c:formatCode>
                <c:ptCount val="5"/>
                <c:pt idx="0">
                  <c:v>37</c:v>
                </c:pt>
                <c:pt idx="1">
                  <c:v>36</c:v>
                </c:pt>
                <c:pt idx="2">
                  <c:v>35.9</c:v>
                </c:pt>
                <c:pt idx="3">
                  <c:v>36.700000000000003</c:v>
                </c:pt>
                <c:pt idx="4">
                  <c:v>36.9</c:v>
                </c:pt>
              </c:numCache>
            </c:numRef>
          </c:val>
        </c:ser>
        <c:ser>
          <c:idx val="2"/>
          <c:order val="2"/>
          <c:tx>
            <c:strRef>
              <c:f>Sheet1!$D$1</c:f>
              <c:strCache>
                <c:ptCount val="1"/>
                <c:pt idx="0">
                  <c:v>Private Basic</c:v>
                </c:pt>
              </c:strCache>
            </c:strRef>
          </c:tx>
          <c:marker>
            <c:symbol val="circle"/>
            <c:size val="5"/>
          </c:marker>
          <c:dLbls>
            <c:dLbl>
              <c:idx val="0"/>
              <c:layout>
                <c:manualLayout>
                  <c:x val="-3.4722222222222224E-2"/>
                  <c:y val="5.1587301587301577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2009/2010</c:v>
                </c:pt>
                <c:pt idx="1">
                  <c:v>2010/2011</c:v>
                </c:pt>
                <c:pt idx="2">
                  <c:v>2011/2012</c:v>
                </c:pt>
                <c:pt idx="3">
                  <c:v>2012/2013</c:v>
                </c:pt>
                <c:pt idx="4">
                  <c:v>2013/2014</c:v>
                </c:pt>
              </c:strCache>
            </c:strRef>
          </c:cat>
          <c:val>
            <c:numRef>
              <c:f>Sheet1!$D$2:$D$6</c:f>
              <c:numCache>
                <c:formatCode>0.0</c:formatCode>
                <c:ptCount val="5"/>
                <c:pt idx="0">
                  <c:v>24</c:v>
                </c:pt>
                <c:pt idx="1">
                  <c:v>23.7</c:v>
                </c:pt>
                <c:pt idx="2">
                  <c:v>23.4</c:v>
                </c:pt>
                <c:pt idx="3">
                  <c:v>23.4</c:v>
                </c:pt>
                <c:pt idx="4">
                  <c:v>23.4</c:v>
                </c:pt>
              </c:numCache>
            </c:numRef>
          </c:val>
        </c:ser>
        <c:ser>
          <c:idx val="3"/>
          <c:order val="3"/>
          <c:tx>
            <c:strRef>
              <c:f>Sheet1!$E$1</c:f>
              <c:strCache>
                <c:ptCount val="1"/>
                <c:pt idx="0">
                  <c:v>West Bank</c:v>
                </c:pt>
              </c:strCache>
            </c:strRef>
          </c:tx>
          <c:marker>
            <c:symbol val="square"/>
            <c:size val="5"/>
          </c:marker>
          <c:dLbls>
            <c:dLbl>
              <c:idx val="0"/>
              <c:layout>
                <c:manualLayout>
                  <c:x val="-9.2860653897637001E-3"/>
                  <c:y val="-3.1746428170049253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2009/2010</c:v>
                </c:pt>
                <c:pt idx="1">
                  <c:v>2010/2011</c:v>
                </c:pt>
                <c:pt idx="2">
                  <c:v>2011/2012</c:v>
                </c:pt>
                <c:pt idx="3">
                  <c:v>2012/2013</c:v>
                </c:pt>
                <c:pt idx="4">
                  <c:v>2013/2014</c:v>
                </c:pt>
              </c:strCache>
            </c:strRef>
          </c:cat>
          <c:val>
            <c:numRef>
              <c:f>Sheet1!$E$2:$E$6</c:f>
              <c:numCache>
                <c:formatCode>0.0</c:formatCode>
                <c:ptCount val="5"/>
                <c:pt idx="0">
                  <c:v>29.3</c:v>
                </c:pt>
                <c:pt idx="1">
                  <c:v>28.6</c:v>
                </c:pt>
                <c:pt idx="2">
                  <c:v>28.3</c:v>
                </c:pt>
                <c:pt idx="3">
                  <c:v>28</c:v>
                </c:pt>
                <c:pt idx="4">
                  <c:v>27.8</c:v>
                </c:pt>
              </c:numCache>
            </c:numRef>
          </c:val>
        </c:ser>
        <c:ser>
          <c:idx val="4"/>
          <c:order val="4"/>
          <c:tx>
            <c:strRef>
              <c:f>Sheet1!$F$1</c:f>
              <c:strCache>
                <c:ptCount val="1"/>
                <c:pt idx="0">
                  <c:v>Gaza Strip</c:v>
                </c:pt>
              </c:strCache>
            </c:strRef>
          </c:tx>
          <c:dLbls>
            <c:dLbl>
              <c:idx val="0"/>
              <c:layout>
                <c:manualLayout>
                  <c:x val="-7.1665186953294421E-2"/>
                  <c:y val="4.5983450541964704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2009/2010</c:v>
                </c:pt>
                <c:pt idx="1">
                  <c:v>2010/2011</c:v>
                </c:pt>
                <c:pt idx="2">
                  <c:v>2011/2012</c:v>
                </c:pt>
                <c:pt idx="3">
                  <c:v>2012/2013</c:v>
                </c:pt>
                <c:pt idx="4">
                  <c:v>2013/2014</c:v>
                </c:pt>
              </c:strCache>
            </c:strRef>
          </c:cat>
          <c:val>
            <c:numRef>
              <c:f>Sheet1!$F$2:$F$6</c:f>
              <c:numCache>
                <c:formatCode>0.0</c:formatCode>
                <c:ptCount val="5"/>
                <c:pt idx="0">
                  <c:v>36.800000000000004</c:v>
                </c:pt>
                <c:pt idx="1">
                  <c:v>36</c:v>
                </c:pt>
                <c:pt idx="2">
                  <c:v>35.700000000000003</c:v>
                </c:pt>
                <c:pt idx="3">
                  <c:v>36.200000000000003</c:v>
                </c:pt>
                <c:pt idx="4">
                  <c:v>36.5</c:v>
                </c:pt>
              </c:numCache>
            </c:numRef>
          </c:val>
        </c:ser>
        <c:ser>
          <c:idx val="5"/>
          <c:order val="5"/>
          <c:tx>
            <c:strRef>
              <c:f>Sheet1!$G$1</c:f>
              <c:strCache>
                <c:ptCount val="1"/>
                <c:pt idx="0">
                  <c:v>West Bank Seconddary</c:v>
                </c:pt>
              </c:strCache>
            </c:strRef>
          </c:tx>
          <c:marker>
            <c:symbol val="triangle"/>
            <c:size val="5"/>
          </c:marker>
          <c:dLbls>
            <c:dLbl>
              <c:idx val="0"/>
              <c:layout>
                <c:manualLayout>
                  <c:x val="-4.1666666666666664E-2"/>
                  <c:y val="-3.5714285714285712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layout>
                <c:manualLayout>
                  <c:x val="-2.3103737966500052E-3"/>
                  <c:y val="2.8319540750704201E-2"/>
                </c:manualLayout>
              </c:layout>
              <c:showVal val="1"/>
              <c:extLst>
                <c:ext xmlns:c15="http://schemas.microsoft.com/office/drawing/2012/chart" uri="{CE6537A1-D6FC-4f65-9D91-7224C49458BB}"/>
              </c:extLst>
            </c:dLbl>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2009/2010</c:v>
                </c:pt>
                <c:pt idx="1">
                  <c:v>2010/2011</c:v>
                </c:pt>
                <c:pt idx="2">
                  <c:v>2011/2012</c:v>
                </c:pt>
                <c:pt idx="3">
                  <c:v>2012/2013</c:v>
                </c:pt>
                <c:pt idx="4">
                  <c:v>2013/2014</c:v>
                </c:pt>
              </c:strCache>
            </c:strRef>
          </c:cat>
          <c:val>
            <c:numRef>
              <c:f>Sheet1!$G$2:$G$6</c:f>
              <c:numCache>
                <c:formatCode>0.0</c:formatCode>
                <c:ptCount val="5"/>
                <c:pt idx="0">
                  <c:v>25.1</c:v>
                </c:pt>
                <c:pt idx="1">
                  <c:v>24.3</c:v>
                </c:pt>
                <c:pt idx="2">
                  <c:v>23.5</c:v>
                </c:pt>
                <c:pt idx="3">
                  <c:v>23.2</c:v>
                </c:pt>
                <c:pt idx="4">
                  <c:v>22.3</c:v>
                </c:pt>
              </c:numCache>
            </c:numRef>
          </c:val>
        </c:ser>
        <c:ser>
          <c:idx val="6"/>
          <c:order val="6"/>
          <c:tx>
            <c:strRef>
              <c:f>Sheet1!$H$1</c:f>
              <c:strCache>
                <c:ptCount val="1"/>
                <c:pt idx="0">
                  <c:v>Gaza Strip Secondary</c:v>
                </c:pt>
              </c:strCache>
            </c:strRef>
          </c:tx>
          <c:dLbls>
            <c:dLbl>
              <c:idx val="0"/>
              <c:layout>
                <c:manualLayout>
                  <c:x val="-3.4722222222222245E-2"/>
                  <c:y val="-3.5714285714285719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2009/2010</c:v>
                </c:pt>
                <c:pt idx="1">
                  <c:v>2010/2011</c:v>
                </c:pt>
                <c:pt idx="2">
                  <c:v>2011/2012</c:v>
                </c:pt>
                <c:pt idx="3">
                  <c:v>2012/2013</c:v>
                </c:pt>
                <c:pt idx="4">
                  <c:v>2013/2014</c:v>
                </c:pt>
              </c:strCache>
            </c:strRef>
          </c:cat>
          <c:val>
            <c:numRef>
              <c:f>Sheet1!$H$2:$H$6</c:f>
              <c:numCache>
                <c:formatCode>0.0</c:formatCode>
                <c:ptCount val="5"/>
                <c:pt idx="0">
                  <c:v>38.700000000000003</c:v>
                </c:pt>
                <c:pt idx="1">
                  <c:v>36.4</c:v>
                </c:pt>
                <c:pt idx="2">
                  <c:v>36.9</c:v>
                </c:pt>
                <c:pt idx="3">
                  <c:v>34.700000000000003</c:v>
                </c:pt>
                <c:pt idx="4">
                  <c:v>34.800000000000004</c:v>
                </c:pt>
              </c:numCache>
            </c:numRef>
          </c:val>
        </c:ser>
        <c:marker val="1"/>
        <c:axId val="205173888"/>
        <c:axId val="205175424"/>
      </c:lineChart>
      <c:catAx>
        <c:axId val="205173888"/>
        <c:scaling>
          <c:orientation val="minMax"/>
        </c:scaling>
        <c:axPos val="b"/>
        <c:numFmt formatCode="General" sourceLinked="0"/>
        <c:tickLblPos val="nextTo"/>
        <c:crossAx val="205175424"/>
        <c:crosses val="autoZero"/>
        <c:auto val="1"/>
        <c:lblAlgn val="ctr"/>
        <c:lblOffset val="100"/>
      </c:catAx>
      <c:valAx>
        <c:axId val="205175424"/>
        <c:scaling>
          <c:orientation val="minMax"/>
          <c:max val="40"/>
          <c:min val="20"/>
        </c:scaling>
        <c:axPos val="l"/>
        <c:majorGridlines/>
        <c:numFmt formatCode="General" sourceLinked="0"/>
        <c:tickLblPos val="nextTo"/>
        <c:crossAx val="205173888"/>
        <c:crosses val="autoZero"/>
        <c:crossBetween val="between"/>
        <c:majorUnit val="2"/>
        <c:minorUnit val="2"/>
      </c:valAx>
    </c:plotArea>
    <c:legend>
      <c:legendPos val="b"/>
      <c:layout>
        <c:manualLayout>
          <c:xMode val="edge"/>
          <c:yMode val="edge"/>
          <c:x val="3.2880130960762852E-2"/>
          <c:y val="0.85576324293450989"/>
          <c:w val="0.94349747888869961"/>
          <c:h val="0.12042676564958769"/>
        </c:manualLayout>
      </c:layout>
      <c:spPr>
        <a:ln>
          <a:solidFill>
            <a:srgbClr val="4F81BD"/>
          </a:solidFill>
        </a:ln>
      </c:spPr>
    </c:legend>
    <c:plotVisOnly val="1"/>
    <c:dispBlanksAs val="zero"/>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9332192742370226E-2"/>
          <c:y val="7.5293788457358971E-2"/>
          <c:w val="0.88519776928411853"/>
          <c:h val="0.65052590096283902"/>
        </c:manualLayout>
      </c:layout>
      <c:barChart>
        <c:barDir val="col"/>
        <c:grouping val="clustered"/>
        <c:ser>
          <c:idx val="0"/>
          <c:order val="0"/>
          <c:tx>
            <c:strRef>
              <c:f>Sheet1!$B$1</c:f>
              <c:strCache>
                <c:ptCount val="1"/>
                <c:pt idx="0">
                  <c:v>At least one time</c:v>
                </c:pt>
              </c:strCache>
            </c:strRef>
          </c:tx>
          <c:spPr>
            <a:solidFill>
              <a:schemeClr val="accent3">
                <a:lumMod val="40000"/>
                <a:lumOff val="60000"/>
              </a:schemeClr>
            </a:solidFill>
          </c:spPr>
          <c:dLbls>
            <c:spPr>
              <a:noFill/>
              <a:ln>
                <a:noFill/>
              </a:ln>
              <a:effectLst/>
            </c:spPr>
            <c:showVal val="1"/>
            <c:extLst>
              <c:ext xmlns:c15="http://schemas.microsoft.com/office/drawing/2012/chart" uri="{CE6537A1-D6FC-4f65-9D91-7224C49458BB}">
                <c15:showLeaderLines val="0"/>
              </c:ext>
            </c:extLst>
          </c:dLbls>
          <c:cat>
            <c:strRef>
              <c:f>Sheet1!$A$2:$A$4</c:f>
              <c:strCache>
                <c:ptCount val="3"/>
                <c:pt idx="0">
                  <c:v>West Bank</c:v>
                </c:pt>
                <c:pt idx="1">
                  <c:v>Gaza Strip</c:v>
                </c:pt>
                <c:pt idx="2">
                  <c:v>Palestine</c:v>
                </c:pt>
              </c:strCache>
            </c:strRef>
          </c:cat>
          <c:val>
            <c:numRef>
              <c:f>Sheet1!$B$2:$B$4</c:f>
              <c:numCache>
                <c:formatCode>####.0</c:formatCode>
                <c:ptCount val="3"/>
                <c:pt idx="0">
                  <c:v>99.318330279023371</c:v>
                </c:pt>
                <c:pt idx="1">
                  <c:v>99.49512451223481</c:v>
                </c:pt>
                <c:pt idx="2">
                  <c:v>99.398346230492237</c:v>
                </c:pt>
              </c:numCache>
            </c:numRef>
          </c:val>
        </c:ser>
        <c:ser>
          <c:idx val="1"/>
          <c:order val="1"/>
          <c:tx>
            <c:strRef>
              <c:f>Sheet1!$C$1</c:f>
              <c:strCache>
                <c:ptCount val="1"/>
                <c:pt idx="0">
                  <c:v>At least four times</c:v>
                </c:pt>
              </c:strCache>
            </c:strRef>
          </c:tx>
          <c:dLbls>
            <c:spPr>
              <a:noFill/>
              <a:ln>
                <a:noFill/>
              </a:ln>
              <a:effectLst/>
            </c:spPr>
            <c:showVal val="1"/>
            <c:extLst>
              <c:ext xmlns:c15="http://schemas.microsoft.com/office/drawing/2012/chart" uri="{CE6537A1-D6FC-4f65-9D91-7224C49458BB}">
                <c15:showLeaderLines val="0"/>
              </c:ext>
            </c:extLst>
          </c:dLbls>
          <c:cat>
            <c:strRef>
              <c:f>Sheet1!$A$2:$A$4</c:f>
              <c:strCache>
                <c:ptCount val="3"/>
                <c:pt idx="0">
                  <c:v>West Bank</c:v>
                </c:pt>
                <c:pt idx="1">
                  <c:v>Gaza Strip</c:v>
                </c:pt>
                <c:pt idx="2">
                  <c:v>Palestine</c:v>
                </c:pt>
              </c:strCache>
            </c:strRef>
          </c:cat>
          <c:val>
            <c:numRef>
              <c:f>Sheet1!$C$2:$C$4</c:f>
              <c:numCache>
                <c:formatCode>####.0</c:formatCode>
                <c:ptCount val="3"/>
                <c:pt idx="0">
                  <c:v>95.673333180637485</c:v>
                </c:pt>
                <c:pt idx="1">
                  <c:v>95.301948810905557</c:v>
                </c:pt>
                <c:pt idx="2">
                  <c:v>95.505246964447096</c:v>
                </c:pt>
              </c:numCache>
            </c:numRef>
          </c:val>
        </c:ser>
        <c:axId val="204691712"/>
        <c:axId val="204701696"/>
      </c:barChart>
      <c:catAx>
        <c:axId val="204691712"/>
        <c:scaling>
          <c:orientation val="minMax"/>
        </c:scaling>
        <c:axPos val="b"/>
        <c:numFmt formatCode="General" sourceLinked="0"/>
        <c:majorTickMark val="none"/>
        <c:tickLblPos val="nextTo"/>
        <c:crossAx val="204701696"/>
        <c:crosses val="autoZero"/>
        <c:auto val="1"/>
        <c:lblAlgn val="ctr"/>
        <c:lblOffset val="100"/>
      </c:catAx>
      <c:valAx>
        <c:axId val="204701696"/>
        <c:scaling>
          <c:orientation val="minMax"/>
          <c:max val="100"/>
          <c:min val="88"/>
        </c:scaling>
        <c:axPos val="l"/>
        <c:majorGridlines/>
        <c:numFmt formatCode="#,##0" sourceLinked="0"/>
        <c:majorTickMark val="none"/>
        <c:tickLblPos val="nextTo"/>
        <c:crossAx val="204691712"/>
        <c:crosses val="autoZero"/>
        <c:crossBetween val="between"/>
      </c:valAx>
    </c:plotArea>
    <c:legend>
      <c:legendPos val="b"/>
      <c:layout>
        <c:manualLayout>
          <c:xMode val="edge"/>
          <c:yMode val="edge"/>
          <c:x val="0.28181585144313193"/>
          <c:y val="0.85702232776256149"/>
          <c:w val="0.43636829711374736"/>
          <c:h val="0.1226326179812932"/>
        </c:manualLayout>
      </c:layout>
      <c:spPr>
        <a:ln>
          <a:solidFill>
            <a:srgbClr val="4F81BD"/>
          </a:solidFill>
        </a:ln>
      </c:spPr>
    </c:legend>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1673849280757732E-2"/>
          <c:y val="6.6715585784305045E-2"/>
          <c:w val="0.8707952415039224"/>
          <c:h val="0.61499828281505065"/>
        </c:manualLayout>
      </c:layout>
      <c:scatterChart>
        <c:scatterStyle val="lineMarker"/>
        <c:ser>
          <c:idx val="1"/>
          <c:order val="1"/>
          <c:tx>
            <c:strRef>
              <c:f>'CM.3 (5)'!$E$5</c:f>
              <c:strCache>
                <c:ptCount val="1"/>
              </c:strCache>
            </c:strRef>
          </c:tx>
          <c:marker>
            <c:symbol val="circle"/>
            <c:size val="5"/>
            <c:spPr>
              <a:solidFill>
                <a:schemeClr val="tx1"/>
              </a:solidFill>
              <a:ln>
                <a:solidFill>
                  <a:schemeClr val="tx1"/>
                </a:solidFill>
                <a:prstDash val="solid"/>
              </a:ln>
            </c:spPr>
          </c:marker>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(5)'!$E$6:$E$35</c:f>
              <c:numCache>
                <c:formatCode>General</c:formatCode>
                <c:ptCount val="30"/>
              </c:numCache>
            </c:numRef>
          </c:yVal>
        </c:ser>
        <c:ser>
          <c:idx val="2"/>
          <c:order val="2"/>
          <c:tx>
            <c:strRef>
              <c:f>'CM.3 (5)'!$F$5</c:f>
              <c:strCache>
                <c:ptCount val="1"/>
              </c:strCache>
            </c:strRef>
          </c:tx>
          <c:marker>
            <c:symbol val="circle"/>
            <c:size val="5"/>
            <c:spPr>
              <a:solidFill>
                <a:schemeClr val="bg1">
                  <a:lumMod val="50000"/>
                </a:schemeClr>
              </a:solidFill>
              <a:ln>
                <a:solidFill>
                  <a:schemeClr val="bg1">
                    <a:lumMod val="50000"/>
                  </a:schemeClr>
                </a:solidFill>
                <a:prstDash val="solid"/>
              </a:ln>
            </c:spPr>
          </c:marker>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(5)'!$F$6:$F$35</c:f>
              <c:numCache>
                <c:formatCode>General</c:formatCode>
                <c:ptCount val="30"/>
              </c:numCache>
            </c:numRef>
          </c:yVal>
        </c:ser>
        <c:axId val="205515392"/>
        <c:axId val="205414784"/>
      </c:scatterChart>
      <c:scatterChart>
        <c:scatterStyle val="lineMarker"/>
        <c:ser>
          <c:idx val="0"/>
          <c:order val="0"/>
          <c:tx>
            <c:strRef>
              <c:f>'CM.3 (5)'!$D$5</c:f>
              <c:strCache>
                <c:ptCount val="1"/>
              </c:strCache>
            </c:strRef>
          </c:tx>
          <c:marker>
            <c:symbol val="triangle"/>
            <c:size val="5"/>
            <c:spPr>
              <a:solidFill>
                <a:schemeClr val="tx1"/>
              </a:solidFill>
              <a:ln>
                <a:solidFill>
                  <a:schemeClr val="tx1"/>
                </a:solidFill>
                <a:prstDash val="solid"/>
              </a:ln>
            </c:spPr>
          </c:marker>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(5)'!$D$6:$D$35</c:f>
              <c:numCache>
                <c:formatCode>General</c:formatCode>
                <c:ptCount val="30"/>
              </c:numCache>
            </c:numRef>
          </c:yVal>
        </c:ser>
        <c:ser>
          <c:idx val="4"/>
          <c:order val="3"/>
          <c:tx>
            <c:strRef>
              <c:f>'CM.3 (5)'!$G$5</c:f>
              <c:strCache>
                <c:ptCount val="1"/>
                <c:pt idx="0">
                  <c:v>Palestine</c:v>
                </c:pt>
              </c:strCache>
            </c:strRef>
          </c:tx>
          <c:dLbls>
            <c:dLbl>
              <c:idx val="15"/>
              <c:layout>
                <c:manualLayout>
                  <c:x val="-9.6269554753309269E-3"/>
                  <c:y val="2.8338708583936292E-3"/>
                </c:manualLayout>
              </c:layout>
              <c:tx>
                <c:rich>
                  <a:bodyPr/>
                  <a:lstStyle/>
                  <a:p>
                    <a:r>
                      <a:rPr lang="en-US"/>
                      <a:t>18.2</a:t>
                    </a:r>
                  </a:p>
                </c:rich>
              </c:tx>
              <c:showVal val="1"/>
            </c:dLbl>
            <c:dLbl>
              <c:idx val="16"/>
              <c:delete val="1"/>
            </c:dLbl>
            <c:dLbl>
              <c:idx val="17"/>
              <c:delete val="1"/>
            </c:dLbl>
            <c:dLbl>
              <c:idx val="18"/>
              <c:delete val="1"/>
            </c:dLbl>
            <c:dLbl>
              <c:idx val="19"/>
              <c:layout>
                <c:manualLayout>
                  <c:x val="-8.6684324584638248E-2"/>
                  <c:y val="-1.1241365392173443E-2"/>
                </c:manualLayout>
              </c:layout>
              <c:tx>
                <c:rich>
                  <a:bodyPr/>
                  <a:lstStyle/>
                  <a:p>
                    <a:r>
                      <a:rPr lang="en-US"/>
                      <a:t>31.8</a:t>
                    </a:r>
                  </a:p>
                </c:rich>
              </c:tx>
              <c:showVal val="1"/>
            </c:dLbl>
            <c:showVal val="1"/>
          </c:dLbls>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(5)'!$G$6:$G$35</c:f>
              <c:numCache>
                <c:formatCode>General</c:formatCode>
                <c:ptCount val="30"/>
                <c:pt idx="15" formatCode="####.00">
                  <c:v>18.237082922999093</c:v>
                </c:pt>
                <c:pt idx="16" formatCode="####.00">
                  <c:v>20.339021205847303</c:v>
                </c:pt>
                <c:pt idx="17" formatCode="####.00">
                  <c:v>21.268448245244681</c:v>
                </c:pt>
                <c:pt idx="18" formatCode="####.00">
                  <c:v>22.816019095283536</c:v>
                </c:pt>
                <c:pt idx="19" formatCode="####.00">
                  <c:v>31.883295029208735</c:v>
                </c:pt>
              </c:numCache>
            </c:numRef>
          </c:yVal>
        </c:ser>
        <c:ser>
          <c:idx val="3"/>
          <c:order val="4"/>
          <c:tx>
            <c:strRef>
              <c:f>'CM.3 (5)'!$H$5</c:f>
              <c:strCache>
                <c:ptCount val="1"/>
                <c:pt idx="0">
                  <c:v>West Bank</c:v>
                </c:pt>
              </c:strCache>
            </c:strRef>
          </c:tx>
          <c:dLbls>
            <c:dLbl>
              <c:idx val="20"/>
              <c:layout>
                <c:manualLayout>
                  <c:x val="-4.0934264387189986E-2"/>
                  <c:y val="4.4965461568692723E-2"/>
                </c:manualLayout>
              </c:layout>
              <c:tx>
                <c:rich>
                  <a:bodyPr/>
                  <a:lstStyle/>
                  <a:p>
                    <a:r>
                      <a:rPr lang="en-US"/>
                      <a:t>17.0</a:t>
                    </a:r>
                  </a:p>
                </c:rich>
              </c:tx>
              <c:showVal val="1"/>
            </c:dLbl>
            <c:dLbl>
              <c:idx val="24"/>
              <c:layout>
                <c:manualLayout>
                  <c:x val="-7.2236937153866213E-2"/>
                  <c:y val="4.4965461568692723E-2"/>
                </c:manualLayout>
              </c:layout>
              <c:tx>
                <c:rich>
                  <a:bodyPr/>
                  <a:lstStyle/>
                  <a:p>
                    <a:r>
                      <a:rPr lang="en-US"/>
                      <a:t>31.2</a:t>
                    </a:r>
                  </a:p>
                </c:rich>
              </c:tx>
              <c:showVal val="1"/>
            </c:dLbl>
            <c:delete val="1"/>
          </c:dLbls>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(5)'!$H$6:$H$35</c:f>
              <c:numCache>
                <c:formatCode>General</c:formatCode>
                <c:ptCount val="30"/>
                <c:pt idx="20" formatCode="####.00">
                  <c:v>17.058251194356231</c:v>
                </c:pt>
                <c:pt idx="21" formatCode="####.00">
                  <c:v>19.21357744735792</c:v>
                </c:pt>
                <c:pt idx="22" formatCode="####.00">
                  <c:v>19.963843487603182</c:v>
                </c:pt>
                <c:pt idx="23" formatCode="####.00">
                  <c:v>21.818220274743489</c:v>
                </c:pt>
                <c:pt idx="24" formatCode="####.00">
                  <c:v>31.199225180071267</c:v>
                </c:pt>
              </c:numCache>
            </c:numRef>
          </c:yVal>
        </c:ser>
        <c:ser>
          <c:idx val="5"/>
          <c:order val="5"/>
          <c:tx>
            <c:strRef>
              <c:f>'CM.3 (5)'!$I$5</c:f>
              <c:strCache>
                <c:ptCount val="1"/>
                <c:pt idx="0">
                  <c:v>Gaza Strip</c:v>
                </c:pt>
              </c:strCache>
            </c:strRef>
          </c:tx>
          <c:dLbls>
            <c:dLbl>
              <c:idx val="25"/>
              <c:layout>
                <c:manualLayout>
                  <c:x val="-1.6847172081829127E-2"/>
                  <c:y val="-3.4440344403444678E-2"/>
                </c:manualLayout>
              </c:layout>
              <c:tx>
                <c:rich>
                  <a:bodyPr/>
                  <a:lstStyle/>
                  <a:p>
                    <a:r>
                      <a:rPr lang="en-US"/>
                      <a:t>19.6</a:t>
                    </a:r>
                  </a:p>
                </c:rich>
              </c:tx>
              <c:showVal val="1"/>
            </c:dLbl>
            <c:dLbl>
              <c:idx val="29"/>
              <c:tx>
                <c:rich>
                  <a:bodyPr/>
                  <a:lstStyle/>
                  <a:p>
                    <a:r>
                      <a:rPr lang="en-US"/>
                      <a:t>32.9</a:t>
                    </a:r>
                  </a:p>
                </c:rich>
              </c:tx>
              <c:showVal val="1"/>
            </c:dLbl>
            <c:delete val="1"/>
          </c:dLbls>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(5)'!$I$6:$I$35</c:f>
              <c:numCache>
                <c:formatCode>General</c:formatCode>
                <c:ptCount val="30"/>
                <c:pt idx="25" formatCode="####.00">
                  <c:v>19.622837786994751</c:v>
                </c:pt>
                <c:pt idx="26" formatCode="####.00">
                  <c:v>21.876090121304991</c:v>
                </c:pt>
                <c:pt idx="27" formatCode="####.00">
                  <c:v>23.239332847466489</c:v>
                </c:pt>
                <c:pt idx="28" formatCode="####.00">
                  <c:v>24.366029472696926</c:v>
                </c:pt>
                <c:pt idx="29" formatCode="####.00">
                  <c:v>32.957902634027278</c:v>
                </c:pt>
              </c:numCache>
            </c:numRef>
          </c:yVal>
        </c:ser>
        <c:axId val="205417856"/>
        <c:axId val="205416320"/>
      </c:scatterChart>
      <c:valAx>
        <c:axId val="205515392"/>
        <c:scaling>
          <c:orientation val="minMax"/>
          <c:max val="2014"/>
        </c:scaling>
        <c:axPos val="b"/>
        <c:majorGridlines>
          <c:spPr>
            <a:ln w="6350">
              <a:solidFill>
                <a:schemeClr val="bg1">
                  <a:lumMod val="75000"/>
                </a:schemeClr>
              </a:solidFill>
              <a:prstDash val="dash"/>
            </a:ln>
          </c:spPr>
        </c:majorGridlines>
        <c:numFmt formatCode="0" sourceLinked="0"/>
        <c:tickLblPos val="nextTo"/>
        <c:spPr>
          <a:ln w="12700">
            <a:solidFill>
              <a:schemeClr val="bg1">
                <a:lumMod val="75000"/>
              </a:schemeClr>
            </a:solidFill>
            <a:prstDash val="solid"/>
          </a:ln>
        </c:spPr>
        <c:txPr>
          <a:bodyPr rot="0" vert="horz"/>
          <a:lstStyle/>
          <a:p>
            <a:pPr>
              <a:defRPr/>
            </a:pPr>
            <a:endParaRPr lang="en-US"/>
          </a:p>
        </c:txPr>
        <c:crossAx val="205414784"/>
        <c:crosses val="autoZero"/>
        <c:crossBetween val="midCat"/>
        <c:majorUnit val="4"/>
      </c:valAx>
      <c:valAx>
        <c:axId val="205414784"/>
        <c:scaling>
          <c:orientation val="minMax"/>
        </c:scaling>
        <c:axPos val="l"/>
        <c:majorGridlines>
          <c:spPr>
            <a:ln w="6350">
              <a:solidFill>
                <a:schemeClr val="bg1">
                  <a:lumMod val="75000"/>
                </a:schemeClr>
              </a:solidFill>
              <a:prstDash val="dash"/>
            </a:ln>
          </c:spPr>
        </c:majorGridlines>
        <c:numFmt formatCode="General" sourceLinked="1"/>
        <c:tickLblPos val="nextTo"/>
        <c:spPr>
          <a:ln w="12700">
            <a:solidFill>
              <a:schemeClr val="bg1">
                <a:lumMod val="75000"/>
              </a:schemeClr>
            </a:solidFill>
            <a:prstDash val="solid"/>
          </a:ln>
        </c:spPr>
        <c:txPr>
          <a:bodyPr rot="0" vert="horz"/>
          <a:lstStyle/>
          <a:p>
            <a:pPr>
              <a:defRPr/>
            </a:pPr>
            <a:endParaRPr lang="en-US"/>
          </a:p>
        </c:txPr>
        <c:crossAx val="205515392"/>
        <c:crossesAt val="1990"/>
        <c:crossBetween val="midCat"/>
      </c:valAx>
      <c:valAx>
        <c:axId val="205416320"/>
        <c:scaling>
          <c:orientation val="minMax"/>
          <c:max val="70"/>
        </c:scaling>
        <c:delete val="1"/>
        <c:axPos val="r"/>
        <c:numFmt formatCode="General" sourceLinked="1"/>
        <c:tickLblPos val="none"/>
        <c:crossAx val="205417856"/>
        <c:crosses val="max"/>
        <c:crossBetween val="midCat"/>
      </c:valAx>
      <c:valAx>
        <c:axId val="205417856"/>
        <c:scaling>
          <c:orientation val="minMax"/>
        </c:scaling>
        <c:delete val="1"/>
        <c:axPos val="b"/>
        <c:numFmt formatCode="General" sourceLinked="1"/>
        <c:tickLblPos val="none"/>
        <c:crossAx val="205416320"/>
        <c:crosses val="autoZero"/>
        <c:crossBetween val="midCat"/>
      </c:valAx>
      <c:spPr>
        <a:noFill/>
        <a:ln w="12700">
          <a:solidFill>
            <a:schemeClr val="bg1">
              <a:lumMod val="75000"/>
            </a:schemeClr>
          </a:solidFill>
          <a:prstDash val="solid"/>
        </a:ln>
      </c:spPr>
    </c:plotArea>
    <c:legend>
      <c:legendPos val="b"/>
      <c:legendEntry>
        <c:idx val="0"/>
        <c:delete val="1"/>
      </c:legendEntry>
      <c:legendEntry>
        <c:idx val="1"/>
        <c:delete val="1"/>
      </c:legendEntry>
      <c:legendEntry>
        <c:idx val="2"/>
        <c:delete val="1"/>
      </c:legendEntry>
      <c:layout>
        <c:manualLayout>
          <c:xMode val="edge"/>
          <c:yMode val="edge"/>
          <c:x val="5.4906091883686538E-2"/>
          <c:y val="0.80975132622227763"/>
          <c:w val="0.88745273047243856"/>
          <c:h val="0.11438047815723364"/>
        </c:manualLayout>
      </c:layout>
      <c:spPr>
        <a:solidFill>
          <a:srgbClr val="FFFFFF"/>
        </a:solidFill>
        <a:ln w="3175">
          <a:solidFill>
            <a:srgbClr val="4F81BD"/>
          </a:solidFill>
          <a:prstDash val="solid"/>
        </a:ln>
      </c:spPr>
    </c:legend>
    <c:plotVisOnly val="1"/>
    <c:dispBlanksAs val="gap"/>
  </c:chart>
  <c:spPr>
    <a:solidFill>
      <a:srgbClr val="FFFFFF"/>
    </a:solidFill>
    <a:ln w="3175">
      <a:solidFill>
        <a:srgbClr val="4F81BD"/>
      </a:solidFill>
      <a:prstDash val="solid"/>
    </a:ln>
  </c:spPr>
  <c:txPr>
    <a:bodyPr/>
    <a:lstStyle/>
    <a:p>
      <a:pPr>
        <a:defRPr sz="1000" b="0" i="0" u="none" strike="noStrike" baseline="0">
          <a:solidFill>
            <a:srgbClr val="000000"/>
          </a:solidFill>
          <a:latin typeface="+mn-lt"/>
          <a:ea typeface="Arial"/>
          <a:cs typeface="Arial"/>
        </a:defRPr>
      </a:pPr>
      <a:endParaRPr lang="en-US"/>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6489643340037069E-2"/>
          <c:y val="0.1079338184660346"/>
          <c:w val="0.87079524150392174"/>
          <c:h val="0.57377998528213703"/>
        </c:manualLayout>
      </c:layout>
      <c:scatterChart>
        <c:scatterStyle val="lineMarker"/>
        <c:ser>
          <c:idx val="1"/>
          <c:order val="1"/>
          <c:tx>
            <c:strRef>
              <c:f>'CM.3 (4)'!$E$5</c:f>
              <c:strCache>
                <c:ptCount val="1"/>
                <c:pt idx="0">
                  <c:v>West Bank</c:v>
                </c:pt>
              </c:strCache>
            </c:strRef>
          </c:tx>
          <c:marker>
            <c:symbol val="circle"/>
            <c:size val="5"/>
            <c:spPr>
              <a:solidFill>
                <a:schemeClr val="tx1"/>
              </a:solidFill>
              <a:ln>
                <a:solidFill>
                  <a:schemeClr val="tx1"/>
                </a:solidFill>
                <a:prstDash val="solid"/>
              </a:ln>
            </c:spPr>
          </c:marker>
          <c:dLbls>
            <c:dLbl>
              <c:idx val="5"/>
              <c:layout>
                <c:manualLayout>
                  <c:x val="-9.6315916205152903E-3"/>
                  <c:y val="4.2212443389687333E-2"/>
                </c:manualLayout>
              </c:layout>
              <c:tx>
                <c:rich>
                  <a:bodyPr/>
                  <a:lstStyle/>
                  <a:p>
                    <a:r>
                      <a:rPr lang="en-US"/>
                      <a:t>20.0</a:t>
                    </a:r>
                  </a:p>
                </c:rich>
              </c:tx>
              <c:showVal val="1"/>
            </c:dLbl>
            <c:dLbl>
              <c:idx val="9"/>
              <c:layout>
                <c:manualLayout>
                  <c:x val="-6.5013243438478432E-2"/>
                  <c:y val="3.8965332359711391E-2"/>
                </c:manualLayout>
              </c:layout>
              <c:tx>
                <c:rich>
                  <a:bodyPr/>
                  <a:lstStyle/>
                  <a:p>
                    <a:r>
                      <a:rPr lang="en-US"/>
                      <a:t>38.9</a:t>
                    </a:r>
                  </a:p>
                </c:rich>
              </c:tx>
              <c:showVal val="1"/>
            </c:dLbl>
            <c:delete val="1"/>
          </c:dLbls>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(4)'!$E$6:$E$35</c:f>
              <c:numCache>
                <c:formatCode>General</c:formatCode>
                <c:ptCount val="30"/>
                <c:pt idx="5" formatCode="####.00">
                  <c:v>20.048805533176889</c:v>
                </c:pt>
                <c:pt idx="6" formatCode="####.00">
                  <c:v>23.427037812790289</c:v>
                </c:pt>
                <c:pt idx="7" formatCode="####.00">
                  <c:v>20.966609753050989</c:v>
                </c:pt>
                <c:pt idx="8" formatCode="####.00">
                  <c:v>26.183452404530499</c:v>
                </c:pt>
                <c:pt idx="9" formatCode="####.00">
                  <c:v>38.958981904865993</c:v>
                </c:pt>
              </c:numCache>
            </c:numRef>
          </c:yVal>
        </c:ser>
        <c:ser>
          <c:idx val="2"/>
          <c:order val="2"/>
          <c:tx>
            <c:strRef>
              <c:f>'CM.3 (4)'!$F$5</c:f>
              <c:strCache>
                <c:ptCount val="1"/>
                <c:pt idx="0">
                  <c:v>Gaza Strip</c:v>
                </c:pt>
              </c:strCache>
            </c:strRef>
          </c:tx>
          <c:marker>
            <c:symbol val="circle"/>
            <c:size val="5"/>
            <c:spPr>
              <a:solidFill>
                <a:schemeClr val="bg1">
                  <a:lumMod val="50000"/>
                </a:schemeClr>
              </a:solidFill>
              <a:ln>
                <a:solidFill>
                  <a:schemeClr val="bg1">
                    <a:lumMod val="50000"/>
                  </a:schemeClr>
                </a:solidFill>
                <a:prstDash val="solid"/>
              </a:ln>
            </c:spPr>
          </c:marker>
          <c:dLbls>
            <c:dLbl>
              <c:idx val="10"/>
              <c:layout>
                <c:manualLayout>
                  <c:x val="-2.4078979051288226E-3"/>
                  <c:y val="-3.8965332359711391E-2"/>
                </c:manualLayout>
              </c:layout>
              <c:tx>
                <c:rich>
                  <a:bodyPr/>
                  <a:lstStyle/>
                  <a:p>
                    <a:r>
                      <a:rPr lang="en-US"/>
                      <a:t>23.7</a:t>
                    </a:r>
                  </a:p>
                </c:rich>
              </c:tx>
              <c:showVal val="1"/>
            </c:dLbl>
            <c:dLbl>
              <c:idx val="14"/>
              <c:layout>
                <c:manualLayout>
                  <c:x val="-2.4078979051288226E-3"/>
                  <c:y val="-1.9482666179855682E-2"/>
                </c:manualLayout>
              </c:layout>
              <c:tx>
                <c:rich>
                  <a:bodyPr/>
                  <a:lstStyle/>
                  <a:p>
                    <a:r>
                      <a:rPr lang="en-US"/>
                      <a:t>45.3</a:t>
                    </a:r>
                  </a:p>
                </c:rich>
              </c:tx>
              <c:showVal val="1"/>
            </c:dLbl>
            <c:delete val="1"/>
          </c:dLbls>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(4)'!$F$6:$F$35</c:f>
              <c:numCache>
                <c:formatCode>General</c:formatCode>
                <c:ptCount val="30"/>
                <c:pt idx="10" formatCode="####.00">
                  <c:v>23.721661998610898</c:v>
                </c:pt>
                <c:pt idx="11" formatCode="####.00">
                  <c:v>24.959234501461868</c:v>
                </c:pt>
                <c:pt idx="12" formatCode="####.00">
                  <c:v>27.297766095299494</c:v>
                </c:pt>
                <c:pt idx="13" formatCode="####.00">
                  <c:v>32.302535715666046</c:v>
                </c:pt>
                <c:pt idx="14" formatCode="####.00">
                  <c:v>45.362513520144262</c:v>
                </c:pt>
              </c:numCache>
            </c:numRef>
          </c:yVal>
        </c:ser>
        <c:axId val="205551872"/>
        <c:axId val="205582336"/>
      </c:scatterChart>
      <c:scatterChart>
        <c:scatterStyle val="lineMarker"/>
        <c:ser>
          <c:idx val="0"/>
          <c:order val="0"/>
          <c:tx>
            <c:strRef>
              <c:f>'CM.3 (4)'!$D$5</c:f>
              <c:strCache>
                <c:ptCount val="1"/>
                <c:pt idx="0">
                  <c:v>Palestine</c:v>
                </c:pt>
              </c:strCache>
            </c:strRef>
          </c:tx>
          <c:marker>
            <c:symbol val="triangle"/>
            <c:size val="5"/>
            <c:spPr>
              <a:solidFill>
                <a:schemeClr val="tx1"/>
              </a:solidFill>
              <a:ln>
                <a:solidFill>
                  <a:schemeClr val="tx1"/>
                </a:solidFill>
                <a:prstDash val="solid"/>
              </a:ln>
            </c:spPr>
          </c:marker>
          <c:dLbls>
            <c:dLbl>
              <c:idx val="0"/>
              <c:tx>
                <c:rich>
                  <a:bodyPr/>
                  <a:lstStyle/>
                  <a:p>
                    <a:r>
                      <a:rPr lang="en-US"/>
                      <a:t>21.7</a:t>
                    </a:r>
                  </a:p>
                </c:rich>
              </c:tx>
              <c:showVal val="1"/>
            </c:dLbl>
            <c:dLbl>
              <c:idx val="4"/>
              <c:layout>
                <c:manualLayout>
                  <c:x val="-7.9460630869252924E-2"/>
                  <c:y val="-1.6235555149879961E-2"/>
                </c:manualLayout>
              </c:layout>
              <c:tx>
                <c:rich>
                  <a:bodyPr/>
                  <a:lstStyle/>
                  <a:p>
                    <a:r>
                      <a:rPr lang="en-US"/>
                      <a:t>41.5</a:t>
                    </a:r>
                  </a:p>
                </c:rich>
              </c:tx>
              <c:showVal val="1"/>
            </c:dLbl>
            <c:delete val="1"/>
          </c:dLbls>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(4)'!$D$6:$D$35</c:f>
              <c:numCache>
                <c:formatCode>####.00</c:formatCode>
                <c:ptCount val="30"/>
                <c:pt idx="0">
                  <c:v>21.730616054808024</c:v>
                </c:pt>
                <c:pt idx="1">
                  <c:v>24.079741819104189</c:v>
                </c:pt>
                <c:pt idx="2">
                  <c:v>23.444596029326984</c:v>
                </c:pt>
                <c:pt idx="3">
                  <c:v>28.592692563720849</c:v>
                </c:pt>
                <c:pt idx="4">
                  <c:v>41.544823673355744</c:v>
                </c:pt>
              </c:numCache>
            </c:numRef>
          </c:yVal>
        </c:ser>
        <c:ser>
          <c:idx val="4"/>
          <c:order val="3"/>
          <c:tx>
            <c:strRef>
              <c:f>'CM.3 (4)'!$G$5</c:f>
              <c:strCache>
                <c:ptCount val="1"/>
              </c:strCache>
            </c:strRef>
          </c:tx>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(4)'!$G$6:$G$35</c:f>
              <c:numCache>
                <c:formatCode>General</c:formatCode>
                <c:ptCount val="30"/>
              </c:numCache>
            </c:numRef>
          </c:yVal>
        </c:ser>
        <c:ser>
          <c:idx val="3"/>
          <c:order val="4"/>
          <c:tx>
            <c:strRef>
              <c:f>'CM.3 (4)'!$H$5</c:f>
              <c:strCache>
                <c:ptCount val="1"/>
              </c:strCache>
            </c:strRef>
          </c:tx>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(4)'!$H$6:$H$35</c:f>
              <c:numCache>
                <c:formatCode>General</c:formatCode>
                <c:ptCount val="30"/>
              </c:numCache>
            </c:numRef>
          </c:yVal>
        </c:ser>
        <c:ser>
          <c:idx val="5"/>
          <c:order val="5"/>
          <c:tx>
            <c:strRef>
              <c:f>'CM.3 (4)'!$I$5</c:f>
              <c:strCache>
                <c:ptCount val="1"/>
              </c:strCache>
            </c:strRef>
          </c:tx>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(4)'!$I$6:$I$35</c:f>
              <c:numCache>
                <c:formatCode>General</c:formatCode>
                <c:ptCount val="30"/>
              </c:numCache>
            </c:numRef>
          </c:yVal>
        </c:ser>
        <c:axId val="205585408"/>
        <c:axId val="205583872"/>
      </c:scatterChart>
      <c:valAx>
        <c:axId val="205551872"/>
        <c:scaling>
          <c:orientation val="minMax"/>
          <c:max val="2014"/>
        </c:scaling>
        <c:axPos val="b"/>
        <c:majorGridlines>
          <c:spPr>
            <a:ln w="6350">
              <a:solidFill>
                <a:schemeClr val="bg1">
                  <a:lumMod val="75000"/>
                </a:schemeClr>
              </a:solidFill>
              <a:prstDash val="dash"/>
            </a:ln>
          </c:spPr>
        </c:majorGridlines>
        <c:numFmt formatCode="0" sourceLinked="0"/>
        <c:tickLblPos val="nextTo"/>
        <c:spPr>
          <a:ln w="12700">
            <a:solidFill>
              <a:schemeClr val="bg1">
                <a:lumMod val="75000"/>
              </a:schemeClr>
            </a:solidFill>
            <a:prstDash val="solid"/>
          </a:ln>
        </c:spPr>
        <c:txPr>
          <a:bodyPr rot="0" vert="horz"/>
          <a:lstStyle/>
          <a:p>
            <a:pPr>
              <a:defRPr/>
            </a:pPr>
            <a:endParaRPr lang="en-US"/>
          </a:p>
        </c:txPr>
        <c:crossAx val="205582336"/>
        <c:crosses val="autoZero"/>
        <c:crossBetween val="midCat"/>
        <c:majorUnit val="4"/>
      </c:valAx>
      <c:valAx>
        <c:axId val="205582336"/>
        <c:scaling>
          <c:orientation val="minMax"/>
        </c:scaling>
        <c:axPos val="l"/>
        <c:majorGridlines>
          <c:spPr>
            <a:ln w="6350">
              <a:solidFill>
                <a:schemeClr val="bg1">
                  <a:lumMod val="75000"/>
                </a:schemeClr>
              </a:solidFill>
              <a:prstDash val="dash"/>
            </a:ln>
          </c:spPr>
        </c:majorGridlines>
        <c:numFmt formatCode="General" sourceLinked="1"/>
        <c:tickLblPos val="nextTo"/>
        <c:spPr>
          <a:ln w="12700">
            <a:solidFill>
              <a:schemeClr val="bg1">
                <a:lumMod val="75000"/>
              </a:schemeClr>
            </a:solidFill>
            <a:prstDash val="solid"/>
          </a:ln>
        </c:spPr>
        <c:txPr>
          <a:bodyPr rot="0" vert="horz"/>
          <a:lstStyle/>
          <a:p>
            <a:pPr>
              <a:defRPr/>
            </a:pPr>
            <a:endParaRPr lang="en-US"/>
          </a:p>
        </c:txPr>
        <c:crossAx val="205551872"/>
        <c:crosses val="autoZero"/>
        <c:crossBetween val="midCat"/>
      </c:valAx>
      <c:valAx>
        <c:axId val="205583872"/>
        <c:scaling>
          <c:orientation val="minMax"/>
          <c:max val="70"/>
        </c:scaling>
        <c:delete val="1"/>
        <c:axPos val="r"/>
        <c:numFmt formatCode="####.00" sourceLinked="1"/>
        <c:tickLblPos val="none"/>
        <c:crossAx val="205585408"/>
        <c:crosses val="max"/>
        <c:crossBetween val="midCat"/>
      </c:valAx>
      <c:valAx>
        <c:axId val="205585408"/>
        <c:scaling>
          <c:orientation val="minMax"/>
        </c:scaling>
        <c:delete val="1"/>
        <c:axPos val="b"/>
        <c:numFmt formatCode="0.0" sourceLinked="1"/>
        <c:tickLblPos val="none"/>
        <c:crossAx val="205583872"/>
        <c:crosses val="autoZero"/>
        <c:crossBetween val="midCat"/>
      </c:valAx>
      <c:spPr>
        <a:noFill/>
        <a:ln w="12700">
          <a:solidFill>
            <a:schemeClr val="bg1">
              <a:lumMod val="75000"/>
            </a:schemeClr>
          </a:solidFill>
          <a:prstDash val="solid"/>
        </a:ln>
      </c:spPr>
    </c:plotArea>
    <c:legend>
      <c:legendPos val="b"/>
      <c:legendEntry>
        <c:idx val="3"/>
        <c:delete val="1"/>
      </c:legendEntry>
      <c:legendEntry>
        <c:idx val="4"/>
        <c:delete val="1"/>
      </c:legendEntry>
      <c:legendEntry>
        <c:idx val="5"/>
        <c:delete val="1"/>
      </c:legendEntry>
      <c:layout>
        <c:manualLayout>
          <c:xMode val="edge"/>
          <c:yMode val="edge"/>
          <c:x val="5.554374295270853E-2"/>
          <c:y val="0.79616489115331168"/>
          <c:w val="0.88745273047243856"/>
          <c:h val="0.11438047815723364"/>
        </c:manualLayout>
      </c:layout>
      <c:spPr>
        <a:solidFill>
          <a:srgbClr val="FFFFFF"/>
        </a:solidFill>
        <a:ln w="3175">
          <a:solidFill>
            <a:srgbClr val="4F81BD"/>
          </a:solidFill>
          <a:prstDash val="solid"/>
        </a:ln>
      </c:spPr>
    </c:legend>
    <c:plotVisOnly val="1"/>
    <c:dispBlanksAs val="gap"/>
  </c:chart>
  <c:spPr>
    <a:solidFill>
      <a:srgbClr val="FFFFFF"/>
    </a:solidFill>
    <a:ln w="3175">
      <a:solidFill>
        <a:srgbClr val="4F81BD"/>
      </a:solidFill>
      <a:prstDash val="solid"/>
    </a:ln>
  </c:spPr>
  <c:txPr>
    <a:bodyPr/>
    <a:lstStyle/>
    <a:p>
      <a:pPr>
        <a:defRPr sz="1000" b="0" i="0" u="none" strike="noStrike" baseline="0">
          <a:solidFill>
            <a:srgbClr val="000000"/>
          </a:solidFill>
          <a:latin typeface="+mn-lt"/>
          <a:ea typeface="Arial"/>
          <a:cs typeface="Arial"/>
        </a:defRPr>
      </a:pPr>
      <a:endParaRPr lang="en-US"/>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5198673082531354E-2"/>
          <c:y val="7.7100831146107524E-2"/>
          <c:w val="0.87933836395450571"/>
          <c:h val="0.74892935258096016"/>
        </c:manualLayout>
      </c:layout>
      <c:lineChart>
        <c:grouping val="standard"/>
        <c:ser>
          <c:idx val="0"/>
          <c:order val="0"/>
          <c:tx>
            <c:strRef>
              <c:f>Sheet1!$B$1</c:f>
              <c:strCache>
                <c:ptCount val="1"/>
                <c:pt idx="0">
                  <c:v>Column3</c:v>
                </c:pt>
              </c:strCache>
            </c:strRef>
          </c:tx>
          <c:dLbls>
            <c:dLbl>
              <c:idx val="0"/>
              <c:layout>
                <c:manualLayout>
                  <c:x val="-3.2407407407409321E-2"/>
                  <c:y val="9.7222222222222224E-2"/>
                </c:manualLayout>
              </c:layout>
              <c:tx>
                <c:rich>
                  <a:bodyPr/>
                  <a:lstStyle/>
                  <a:p>
                    <a:r>
                      <a:rPr lang="en-US"/>
                      <a:t>3,903</a:t>
                    </a:r>
                  </a:p>
                </c:rich>
              </c:tx>
              <c:showVal val="1"/>
              <c:extLst>
                <c:ext xmlns:c15="http://schemas.microsoft.com/office/drawing/2012/chart" uri="{CE6537A1-D6FC-4f65-9D91-7224C49458BB}"/>
              </c:extLst>
            </c:dLbl>
            <c:dLbl>
              <c:idx val="1"/>
              <c:layout>
                <c:manualLayout>
                  <c:x val="-3.4722222222222224E-2"/>
                  <c:y val="0.10416666666666829"/>
                </c:manualLayout>
              </c:layout>
              <c:tx>
                <c:rich>
                  <a:bodyPr/>
                  <a:lstStyle/>
                  <a:p>
                    <a:r>
                      <a:rPr lang="en-US"/>
                      <a:t>7,412</a:t>
                    </a:r>
                  </a:p>
                </c:rich>
              </c:tx>
              <c:showVal val="1"/>
              <c:extLst>
                <c:ext xmlns:c15="http://schemas.microsoft.com/office/drawing/2012/chart" uri="{CE6537A1-D6FC-4f65-9D91-7224C49458BB}"/>
              </c:extLst>
            </c:dLbl>
            <c:dLbl>
              <c:idx val="2"/>
              <c:layout>
                <c:manualLayout>
                  <c:x val="-2.3148148148148064E-2"/>
                  <c:y val="8.3333333333333343E-2"/>
                </c:manualLayout>
              </c:layout>
              <c:tx>
                <c:rich>
                  <a:bodyPr/>
                  <a:lstStyle/>
                  <a:p>
                    <a:r>
                      <a:rPr lang="en-US"/>
                      <a:t>8,132</a:t>
                    </a:r>
                  </a:p>
                </c:rich>
              </c:tx>
              <c:showVal val="1"/>
              <c:extLst>
                <c:ext xmlns:c15="http://schemas.microsoft.com/office/drawing/2012/chart" uri="{CE6537A1-D6FC-4f65-9D91-7224C49458BB}"/>
              </c:extLst>
            </c:dLbl>
            <c:dLbl>
              <c:idx val="3"/>
              <c:layout>
                <c:manualLayout>
                  <c:x val="-2.3148148148148227E-2"/>
                  <c:y val="0.10416666666666829"/>
                </c:manualLayout>
              </c:layout>
              <c:tx>
                <c:rich>
                  <a:bodyPr/>
                  <a:lstStyle/>
                  <a:p>
                    <a:r>
                      <a:rPr lang="en-US">
                        <a:solidFill>
                          <a:sysClr val="windowText" lastClr="000000"/>
                        </a:solidFill>
                      </a:rPr>
                      <a:t>9,</a:t>
                    </a:r>
                    <a:r>
                      <a:rPr lang="en-US"/>
                      <a:t>203</a:t>
                    </a:r>
                  </a:p>
                </c:rich>
              </c:tx>
              <c:showVal val="1"/>
              <c:extLst>
                <c:ext xmlns:c15="http://schemas.microsoft.com/office/drawing/2012/chart" uri="{CE6537A1-D6FC-4f65-9D91-7224C49458BB}"/>
              </c:extLst>
            </c:dLbl>
            <c:dLbl>
              <c:idx val="4"/>
              <c:layout>
                <c:manualLayout>
                  <c:x val="-2.3148148148148147E-2"/>
                  <c:y val="0.11805555555555559"/>
                </c:manualLayout>
              </c:layout>
              <c:showVal val="1"/>
              <c:extLst>
                <c:ext xmlns:c15="http://schemas.microsoft.com/office/drawing/2012/chart" uri="{CE6537A1-D6FC-4f65-9D91-7224C49458BB}"/>
              </c:extLst>
            </c:dLbl>
            <c:spPr>
              <a:noFill/>
              <a:ln>
                <a:noFill/>
              </a:ln>
              <a:effectLst/>
            </c:spPr>
            <c:txPr>
              <a:bodyPr/>
              <a:lstStyle/>
              <a:p>
                <a:pPr>
                  <a:defRPr>
                    <a:solidFill>
                      <a:sysClr val="windowText" lastClr="000000"/>
                    </a:solidFill>
                  </a:defRPr>
                </a:pPr>
                <a:endParaRPr lang="en-US"/>
              </a:p>
            </c:txPr>
            <c:showVal val="1"/>
            <c:extLst>
              <c:ext xmlns:c15="http://schemas.microsoft.com/office/drawing/2012/chart" uri="{CE6537A1-D6FC-4f65-9D91-7224C49458BB}">
                <c15:showLeaderLines val="0"/>
              </c:ext>
            </c:extLst>
          </c:dLbls>
          <c:cat>
            <c:strRef>
              <c:f>Sheet1!$A$2:$A$6</c:f>
              <c:strCache>
                <c:ptCount val="5"/>
                <c:pt idx="0">
                  <c:v>Mid 2009</c:v>
                </c:pt>
                <c:pt idx="1">
                  <c:v>2010</c:v>
                </c:pt>
                <c:pt idx="2">
                  <c:v>2011</c:v>
                </c:pt>
                <c:pt idx="3">
                  <c:v>2012</c:v>
                </c:pt>
                <c:pt idx="4">
                  <c:v>2013</c:v>
                </c:pt>
              </c:strCache>
            </c:strRef>
          </c:cat>
          <c:val>
            <c:numRef>
              <c:f>Sheet1!$B$2:$B$6</c:f>
              <c:numCache>
                <c:formatCode>#,##0</c:formatCode>
                <c:ptCount val="5"/>
                <c:pt idx="0">
                  <c:v>3903</c:v>
                </c:pt>
                <c:pt idx="1">
                  <c:v>7412</c:v>
                </c:pt>
                <c:pt idx="2">
                  <c:v>8132</c:v>
                </c:pt>
                <c:pt idx="3">
                  <c:v>9302</c:v>
                </c:pt>
                <c:pt idx="4">
                  <c:v>7936</c:v>
                </c:pt>
              </c:numCache>
            </c:numRef>
          </c:val>
        </c:ser>
        <c:ser>
          <c:idx val="1"/>
          <c:order val="1"/>
          <c:tx>
            <c:strRef>
              <c:f>Sheet1!$C$1</c:f>
              <c:strCache>
                <c:ptCount val="1"/>
                <c:pt idx="0">
                  <c:v>Column1</c:v>
                </c:pt>
              </c:strCache>
            </c:strRef>
          </c:tx>
          <c:cat>
            <c:strRef>
              <c:f>Sheet1!$A$2:$A$6</c:f>
              <c:strCache>
                <c:ptCount val="5"/>
                <c:pt idx="0">
                  <c:v>Mid 2009</c:v>
                </c:pt>
                <c:pt idx="1">
                  <c:v>2010</c:v>
                </c:pt>
                <c:pt idx="2">
                  <c:v>2011</c:v>
                </c:pt>
                <c:pt idx="3">
                  <c:v>2012</c:v>
                </c:pt>
                <c:pt idx="4">
                  <c:v>2013</c:v>
                </c:pt>
              </c:strCache>
            </c:strRef>
          </c:cat>
          <c:val>
            <c:numRef>
              <c:f>Sheet1!$C$2:$C$6</c:f>
              <c:numCache>
                <c:formatCode>General</c:formatCode>
                <c:ptCount val="5"/>
              </c:numCache>
            </c:numRef>
          </c:val>
        </c:ser>
        <c:ser>
          <c:idx val="2"/>
          <c:order val="2"/>
          <c:tx>
            <c:strRef>
              <c:f>Sheet1!$D$1</c:f>
              <c:strCache>
                <c:ptCount val="1"/>
                <c:pt idx="0">
                  <c:v>Column2</c:v>
                </c:pt>
              </c:strCache>
            </c:strRef>
          </c:tx>
          <c:cat>
            <c:strRef>
              <c:f>Sheet1!$A$2:$A$6</c:f>
              <c:strCache>
                <c:ptCount val="5"/>
                <c:pt idx="0">
                  <c:v>Mid 2009</c:v>
                </c:pt>
                <c:pt idx="1">
                  <c:v>2010</c:v>
                </c:pt>
                <c:pt idx="2">
                  <c:v>2011</c:v>
                </c:pt>
                <c:pt idx="3">
                  <c:v>2012</c:v>
                </c:pt>
                <c:pt idx="4">
                  <c:v>2013</c:v>
                </c:pt>
              </c:strCache>
            </c:strRef>
          </c:cat>
          <c:val>
            <c:numRef>
              <c:f>Sheet1!$D$2:$D$6</c:f>
              <c:numCache>
                <c:formatCode>General</c:formatCode>
                <c:ptCount val="5"/>
              </c:numCache>
            </c:numRef>
          </c:val>
        </c:ser>
        <c:marker val="1"/>
        <c:axId val="204994048"/>
        <c:axId val="204995584"/>
      </c:lineChart>
      <c:catAx>
        <c:axId val="204994048"/>
        <c:scaling>
          <c:orientation val="minMax"/>
        </c:scaling>
        <c:axPos val="b"/>
        <c:numFmt formatCode="General" sourceLinked="0"/>
        <c:majorTickMark val="none"/>
        <c:tickLblPos val="nextTo"/>
        <c:crossAx val="204995584"/>
        <c:crosses val="autoZero"/>
        <c:auto val="1"/>
        <c:lblAlgn val="ctr"/>
        <c:lblOffset val="100"/>
      </c:catAx>
      <c:valAx>
        <c:axId val="204995584"/>
        <c:scaling>
          <c:orientation val="minMax"/>
        </c:scaling>
        <c:axPos val="l"/>
        <c:majorGridlines/>
        <c:numFmt formatCode="#,##0" sourceLinked="1"/>
        <c:majorTickMark val="none"/>
        <c:tickLblPos val="nextTo"/>
        <c:crossAx val="204994048"/>
        <c:crosses val="autoZero"/>
        <c:crossBetween val="between"/>
      </c:valAx>
    </c:plotArea>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n-US"/>
  <c:style val="8"/>
  <c:chart>
    <c:plotArea>
      <c:layout>
        <c:manualLayout>
          <c:layoutTarget val="inner"/>
          <c:xMode val="edge"/>
          <c:yMode val="edge"/>
          <c:x val="7.1704807676889595E-2"/>
          <c:y val="6.6917723216086814E-2"/>
          <c:w val="0.89227132521971353"/>
          <c:h val="0.72317384835520004"/>
        </c:manualLayout>
      </c:layout>
      <c:areaChart>
        <c:grouping val="stacked"/>
        <c:ser>
          <c:idx val="0"/>
          <c:order val="0"/>
          <c:tx>
            <c:strRef>
              <c:f>Sheet1!$B$1</c:f>
              <c:strCache>
                <c:ptCount val="1"/>
                <c:pt idx="0">
                  <c:v>Breast feeding with food supplements</c:v>
                </c:pt>
              </c:strCache>
            </c:strRef>
          </c:tx>
          <c:cat>
            <c:strRef>
              <c:f>Sheet1!$A$2:$A$13</c:f>
              <c:strCache>
                <c:ptCount val="12"/>
                <c:pt idx="0">
                  <c:v>0-1</c:v>
                </c:pt>
                <c:pt idx="1">
                  <c:v>2-3</c:v>
                </c:pt>
                <c:pt idx="2">
                  <c:v>4-5</c:v>
                </c:pt>
                <c:pt idx="3">
                  <c:v>6-7</c:v>
                </c:pt>
                <c:pt idx="4">
                  <c:v>8-9</c:v>
                </c:pt>
                <c:pt idx="5">
                  <c:v>10-11</c:v>
                </c:pt>
                <c:pt idx="6">
                  <c:v>12-13</c:v>
                </c:pt>
                <c:pt idx="7">
                  <c:v>14-15</c:v>
                </c:pt>
                <c:pt idx="8">
                  <c:v>16-17</c:v>
                </c:pt>
                <c:pt idx="9">
                  <c:v>18-19</c:v>
                </c:pt>
                <c:pt idx="10">
                  <c:v>20-21</c:v>
                </c:pt>
                <c:pt idx="11">
                  <c:v>22-23</c:v>
                </c:pt>
              </c:strCache>
            </c:strRef>
          </c:cat>
          <c:val>
            <c:numRef>
              <c:f>Sheet1!$B$2:$B$13</c:f>
              <c:numCache>
                <c:formatCode>####.0</c:formatCode>
                <c:ptCount val="12"/>
                <c:pt idx="0">
                  <c:v>50.315631649566974</c:v>
                </c:pt>
                <c:pt idx="1">
                  <c:v>42.205465127914032</c:v>
                </c:pt>
                <c:pt idx="2">
                  <c:v>26.196558807310815</c:v>
                </c:pt>
                <c:pt idx="3">
                  <c:v>6.2671812903698845</c:v>
                </c:pt>
                <c:pt idx="4">
                  <c:v>0.95559132852591666</c:v>
                </c:pt>
                <c:pt idx="5">
                  <c:v>0</c:v>
                </c:pt>
                <c:pt idx="6">
                  <c:v>0</c:v>
                </c:pt>
                <c:pt idx="7">
                  <c:v>0</c:v>
                </c:pt>
                <c:pt idx="8">
                  <c:v>0</c:v>
                </c:pt>
                <c:pt idx="9">
                  <c:v>0</c:v>
                </c:pt>
                <c:pt idx="10">
                  <c:v>0</c:v>
                </c:pt>
                <c:pt idx="11">
                  <c:v>0</c:v>
                </c:pt>
              </c:numCache>
            </c:numRef>
          </c:val>
        </c:ser>
        <c:ser>
          <c:idx val="1"/>
          <c:order val="1"/>
          <c:tx>
            <c:strRef>
              <c:f>Sheet1!$C$1</c:f>
              <c:strCache>
                <c:ptCount val="1"/>
                <c:pt idx="0">
                  <c:v>Breastfeeding with formula milk</c:v>
                </c:pt>
              </c:strCache>
            </c:strRef>
          </c:tx>
          <c:cat>
            <c:strRef>
              <c:f>Sheet1!$A$2:$A$13</c:f>
              <c:strCache>
                <c:ptCount val="12"/>
                <c:pt idx="0">
                  <c:v>0-1</c:v>
                </c:pt>
                <c:pt idx="1">
                  <c:v>2-3</c:v>
                </c:pt>
                <c:pt idx="2">
                  <c:v>4-5</c:v>
                </c:pt>
                <c:pt idx="3">
                  <c:v>6-7</c:v>
                </c:pt>
                <c:pt idx="4">
                  <c:v>8-9</c:v>
                </c:pt>
                <c:pt idx="5">
                  <c:v>10-11</c:v>
                </c:pt>
                <c:pt idx="6">
                  <c:v>12-13</c:v>
                </c:pt>
                <c:pt idx="7">
                  <c:v>14-15</c:v>
                </c:pt>
                <c:pt idx="8">
                  <c:v>16-17</c:v>
                </c:pt>
                <c:pt idx="9">
                  <c:v>18-19</c:v>
                </c:pt>
                <c:pt idx="10">
                  <c:v>20-21</c:v>
                </c:pt>
                <c:pt idx="11">
                  <c:v>22-23</c:v>
                </c:pt>
              </c:strCache>
            </c:strRef>
          </c:cat>
          <c:val>
            <c:numRef>
              <c:f>Sheet1!$C$2:$C$13</c:f>
              <c:numCache>
                <c:formatCode>####.0</c:formatCode>
                <c:ptCount val="12"/>
                <c:pt idx="0">
                  <c:v>0.90230429735361772</c:v>
                </c:pt>
                <c:pt idx="1">
                  <c:v>3.2829962046196002</c:v>
                </c:pt>
                <c:pt idx="2">
                  <c:v>4.6186062764983147</c:v>
                </c:pt>
                <c:pt idx="3">
                  <c:v>1.892521340569393</c:v>
                </c:pt>
                <c:pt idx="4">
                  <c:v>0.63862320516493365</c:v>
                </c:pt>
                <c:pt idx="5">
                  <c:v>0.74019242040216582</c:v>
                </c:pt>
                <c:pt idx="6">
                  <c:v>0.91453173222147865</c:v>
                </c:pt>
                <c:pt idx="7">
                  <c:v>0.38130825163783744</c:v>
                </c:pt>
                <c:pt idx="8">
                  <c:v>0</c:v>
                </c:pt>
                <c:pt idx="9">
                  <c:v>0</c:v>
                </c:pt>
                <c:pt idx="10">
                  <c:v>0</c:v>
                </c:pt>
                <c:pt idx="11">
                  <c:v>0</c:v>
                </c:pt>
              </c:numCache>
            </c:numRef>
          </c:val>
        </c:ser>
        <c:ser>
          <c:idx val="2"/>
          <c:order val="2"/>
          <c:tx>
            <c:strRef>
              <c:f>Sheet1!$D$1</c:f>
              <c:strCache>
                <c:ptCount val="1"/>
                <c:pt idx="0">
                  <c:v>Breastfeeding with liquids other than milk</c:v>
                </c:pt>
              </c:strCache>
            </c:strRef>
          </c:tx>
          <c:cat>
            <c:strRef>
              <c:f>Sheet1!$A$2:$A$13</c:f>
              <c:strCache>
                <c:ptCount val="12"/>
                <c:pt idx="0">
                  <c:v>0-1</c:v>
                </c:pt>
                <c:pt idx="1">
                  <c:v>2-3</c:v>
                </c:pt>
                <c:pt idx="2">
                  <c:v>4-5</c:v>
                </c:pt>
                <c:pt idx="3">
                  <c:v>6-7</c:v>
                </c:pt>
                <c:pt idx="4">
                  <c:v>8-9</c:v>
                </c:pt>
                <c:pt idx="5">
                  <c:v>10-11</c:v>
                </c:pt>
                <c:pt idx="6">
                  <c:v>12-13</c:v>
                </c:pt>
                <c:pt idx="7">
                  <c:v>14-15</c:v>
                </c:pt>
                <c:pt idx="8">
                  <c:v>16-17</c:v>
                </c:pt>
                <c:pt idx="9">
                  <c:v>18-19</c:v>
                </c:pt>
                <c:pt idx="10">
                  <c:v>20-21</c:v>
                </c:pt>
                <c:pt idx="11">
                  <c:v>22-23</c:v>
                </c:pt>
              </c:strCache>
            </c:strRef>
          </c:cat>
          <c:val>
            <c:numRef>
              <c:f>Sheet1!$D$2:$D$13</c:f>
              <c:numCache>
                <c:formatCode>####.0</c:formatCode>
                <c:ptCount val="12"/>
                <c:pt idx="0">
                  <c:v>7.0422811159176524</c:v>
                </c:pt>
                <c:pt idx="1">
                  <c:v>11.498020348364269</c:v>
                </c:pt>
                <c:pt idx="2">
                  <c:v>5.6284772272364201</c:v>
                </c:pt>
                <c:pt idx="3">
                  <c:v>2.7644204463285202</c:v>
                </c:pt>
                <c:pt idx="4">
                  <c:v>0.5222169550096305</c:v>
                </c:pt>
                <c:pt idx="5">
                  <c:v>0.78640370208360655</c:v>
                </c:pt>
                <c:pt idx="6">
                  <c:v>0.88673527656334739</c:v>
                </c:pt>
                <c:pt idx="7">
                  <c:v>0</c:v>
                </c:pt>
                <c:pt idx="8">
                  <c:v>0.46616949433374238</c:v>
                </c:pt>
                <c:pt idx="9">
                  <c:v>0</c:v>
                </c:pt>
                <c:pt idx="10">
                  <c:v>0</c:v>
                </c:pt>
                <c:pt idx="11">
                  <c:v>0</c:v>
                </c:pt>
              </c:numCache>
            </c:numRef>
          </c:val>
        </c:ser>
        <c:ser>
          <c:idx val="3"/>
          <c:order val="3"/>
          <c:tx>
            <c:strRef>
              <c:f>Sheet1!$E$1</c:f>
              <c:strCache>
                <c:ptCount val="1"/>
                <c:pt idx="0">
                  <c:v>Breastfeeding with water</c:v>
                </c:pt>
              </c:strCache>
            </c:strRef>
          </c:tx>
          <c:cat>
            <c:strRef>
              <c:f>Sheet1!$A$2:$A$13</c:f>
              <c:strCache>
                <c:ptCount val="12"/>
                <c:pt idx="0">
                  <c:v>0-1</c:v>
                </c:pt>
                <c:pt idx="1">
                  <c:v>2-3</c:v>
                </c:pt>
                <c:pt idx="2">
                  <c:v>4-5</c:v>
                </c:pt>
                <c:pt idx="3">
                  <c:v>6-7</c:v>
                </c:pt>
                <c:pt idx="4">
                  <c:v>8-9</c:v>
                </c:pt>
                <c:pt idx="5">
                  <c:v>10-11</c:v>
                </c:pt>
                <c:pt idx="6">
                  <c:v>12-13</c:v>
                </c:pt>
                <c:pt idx="7">
                  <c:v>14-15</c:v>
                </c:pt>
                <c:pt idx="8">
                  <c:v>16-17</c:v>
                </c:pt>
                <c:pt idx="9">
                  <c:v>18-19</c:v>
                </c:pt>
                <c:pt idx="10">
                  <c:v>20-21</c:v>
                </c:pt>
                <c:pt idx="11">
                  <c:v>22-23</c:v>
                </c:pt>
              </c:strCache>
            </c:strRef>
          </c:cat>
          <c:val>
            <c:numRef>
              <c:f>Sheet1!$E$2:$E$13</c:f>
              <c:numCache>
                <c:formatCode>####.0</c:formatCode>
                <c:ptCount val="12"/>
                <c:pt idx="0">
                  <c:v>36.079472365169863</c:v>
                </c:pt>
                <c:pt idx="1">
                  <c:v>34.534315074215527</c:v>
                </c:pt>
                <c:pt idx="2">
                  <c:v>24.198442831880971</c:v>
                </c:pt>
                <c:pt idx="3">
                  <c:v>5.7096266712925434</c:v>
                </c:pt>
                <c:pt idx="4">
                  <c:v>1.9273328894556241</c:v>
                </c:pt>
                <c:pt idx="5">
                  <c:v>1.2836327656865301</c:v>
                </c:pt>
                <c:pt idx="6">
                  <c:v>0</c:v>
                </c:pt>
                <c:pt idx="7">
                  <c:v>0.65124334529463135</c:v>
                </c:pt>
                <c:pt idx="8">
                  <c:v>0</c:v>
                </c:pt>
                <c:pt idx="9">
                  <c:v>0</c:v>
                </c:pt>
                <c:pt idx="10">
                  <c:v>0</c:v>
                </c:pt>
                <c:pt idx="11">
                  <c:v>0</c:v>
                </c:pt>
              </c:numCache>
            </c:numRef>
          </c:val>
        </c:ser>
        <c:ser>
          <c:idx val="4"/>
          <c:order val="4"/>
          <c:tx>
            <c:strRef>
              <c:f>Sheet1!$F$1</c:f>
              <c:strCache>
                <c:ptCount val="1"/>
                <c:pt idx="0">
                  <c:v>Exclusive breastfeeding</c:v>
                </c:pt>
              </c:strCache>
            </c:strRef>
          </c:tx>
          <c:cat>
            <c:strRef>
              <c:f>Sheet1!$A$2:$A$13</c:f>
              <c:strCache>
                <c:ptCount val="12"/>
                <c:pt idx="0">
                  <c:v>0-1</c:v>
                </c:pt>
                <c:pt idx="1">
                  <c:v>2-3</c:v>
                </c:pt>
                <c:pt idx="2">
                  <c:v>4-5</c:v>
                </c:pt>
                <c:pt idx="3">
                  <c:v>6-7</c:v>
                </c:pt>
                <c:pt idx="4">
                  <c:v>8-9</c:v>
                </c:pt>
                <c:pt idx="5">
                  <c:v>10-11</c:v>
                </c:pt>
                <c:pt idx="6">
                  <c:v>12-13</c:v>
                </c:pt>
                <c:pt idx="7">
                  <c:v>14-15</c:v>
                </c:pt>
                <c:pt idx="8">
                  <c:v>16-17</c:v>
                </c:pt>
                <c:pt idx="9">
                  <c:v>18-19</c:v>
                </c:pt>
                <c:pt idx="10">
                  <c:v>20-21</c:v>
                </c:pt>
                <c:pt idx="11">
                  <c:v>22-23</c:v>
                </c:pt>
              </c:strCache>
            </c:strRef>
          </c:cat>
          <c:val>
            <c:numRef>
              <c:f>Sheet1!$F$2:$F$13</c:f>
              <c:numCache>
                <c:formatCode>####.0</c:formatCode>
                <c:ptCount val="12"/>
                <c:pt idx="0">
                  <c:v>0</c:v>
                </c:pt>
                <c:pt idx="1">
                  <c:v>2.4024947359395776</c:v>
                </c:pt>
                <c:pt idx="2">
                  <c:v>29.893010035806327</c:v>
                </c:pt>
                <c:pt idx="3">
                  <c:v>67.759740122033108</c:v>
                </c:pt>
                <c:pt idx="4">
                  <c:v>76.666063554445969</c:v>
                </c:pt>
                <c:pt idx="5">
                  <c:v>64.686619720622687</c:v>
                </c:pt>
                <c:pt idx="6">
                  <c:v>59.612586110462004</c:v>
                </c:pt>
                <c:pt idx="7">
                  <c:v>43.737675551465998</c:v>
                </c:pt>
                <c:pt idx="8">
                  <c:v>33.667750167686705</c:v>
                </c:pt>
                <c:pt idx="9">
                  <c:v>24.162921663182765</c:v>
                </c:pt>
                <c:pt idx="10">
                  <c:v>12.915752901473423</c:v>
                </c:pt>
                <c:pt idx="11">
                  <c:v>10.07292166656932</c:v>
                </c:pt>
              </c:numCache>
            </c:numRef>
          </c:val>
        </c:ser>
        <c:ser>
          <c:idx val="5"/>
          <c:order val="5"/>
          <c:tx>
            <c:strRef>
              <c:f>Sheet1!$G$1</c:f>
              <c:strCache>
                <c:ptCount val="1"/>
                <c:pt idx="0">
                  <c:v>Column1</c:v>
                </c:pt>
              </c:strCache>
            </c:strRef>
          </c:tx>
          <c:cat>
            <c:strRef>
              <c:f>Sheet1!$A$2:$A$13</c:f>
              <c:strCache>
                <c:ptCount val="12"/>
                <c:pt idx="0">
                  <c:v>0-1</c:v>
                </c:pt>
                <c:pt idx="1">
                  <c:v>2-3</c:v>
                </c:pt>
                <c:pt idx="2">
                  <c:v>4-5</c:v>
                </c:pt>
                <c:pt idx="3">
                  <c:v>6-7</c:v>
                </c:pt>
                <c:pt idx="4">
                  <c:v>8-9</c:v>
                </c:pt>
                <c:pt idx="5">
                  <c:v>10-11</c:v>
                </c:pt>
                <c:pt idx="6">
                  <c:v>12-13</c:v>
                </c:pt>
                <c:pt idx="7">
                  <c:v>14-15</c:v>
                </c:pt>
                <c:pt idx="8">
                  <c:v>16-17</c:v>
                </c:pt>
                <c:pt idx="9">
                  <c:v>18-19</c:v>
                </c:pt>
                <c:pt idx="10">
                  <c:v>20-21</c:v>
                </c:pt>
                <c:pt idx="11">
                  <c:v>22-23</c:v>
                </c:pt>
              </c:strCache>
            </c:strRef>
          </c:cat>
          <c:val>
            <c:numRef>
              <c:f>Sheet1!$G$2:$G$13</c:f>
              <c:numCache>
                <c:formatCode>####.0</c:formatCode>
                <c:ptCount val="12"/>
                <c:pt idx="0">
                  <c:v>5.6603105719918645</c:v>
                </c:pt>
                <c:pt idx="1">
                  <c:v>6.076708508946945</c:v>
                </c:pt>
                <c:pt idx="2">
                  <c:v>9.4649048212664066</c:v>
                </c:pt>
                <c:pt idx="3">
                  <c:v>15.6065101294047</c:v>
                </c:pt>
                <c:pt idx="4">
                  <c:v>19.290172067397862</c:v>
                </c:pt>
                <c:pt idx="5">
                  <c:v>32.503151391204959</c:v>
                </c:pt>
                <c:pt idx="6">
                  <c:v>38.586146880753105</c:v>
                </c:pt>
                <c:pt idx="7">
                  <c:v>55.229772851600863</c:v>
                </c:pt>
                <c:pt idx="8">
                  <c:v>65.866080337978858</c:v>
                </c:pt>
                <c:pt idx="9">
                  <c:v>75.837078336817058</c:v>
                </c:pt>
                <c:pt idx="10">
                  <c:v>87.084247098526518</c:v>
                </c:pt>
                <c:pt idx="11">
                  <c:v>89.927078333428483</c:v>
                </c:pt>
              </c:numCache>
            </c:numRef>
          </c:val>
        </c:ser>
        <c:axId val="204976896"/>
        <c:axId val="204978432"/>
      </c:areaChart>
      <c:catAx>
        <c:axId val="204976896"/>
        <c:scaling>
          <c:orientation val="minMax"/>
        </c:scaling>
        <c:axPos val="b"/>
        <c:numFmt formatCode="General" sourceLinked="1"/>
        <c:tickLblPos val="nextTo"/>
        <c:crossAx val="204978432"/>
        <c:crosses val="autoZero"/>
        <c:auto val="1"/>
        <c:lblAlgn val="ctr"/>
        <c:lblOffset val="100"/>
      </c:catAx>
      <c:valAx>
        <c:axId val="204978432"/>
        <c:scaling>
          <c:orientation val="minMax"/>
          <c:max val="100"/>
        </c:scaling>
        <c:axPos val="l"/>
        <c:majorGridlines/>
        <c:numFmt formatCode="#,##0" sourceLinked="0"/>
        <c:tickLblPos val="nextTo"/>
        <c:crossAx val="204976896"/>
        <c:crosses val="autoZero"/>
        <c:crossBetween val="midCat"/>
      </c:valAx>
    </c:plotArea>
    <c:legend>
      <c:legendPos val="r"/>
      <c:legendEntry>
        <c:idx val="0"/>
        <c:delete val="1"/>
      </c:legendEntry>
      <c:layout>
        <c:manualLayout>
          <c:xMode val="edge"/>
          <c:yMode val="edge"/>
          <c:x val="0.49135850654586022"/>
          <c:y val="0.10697903986293926"/>
          <c:w val="0.46006144981027891"/>
          <c:h val="0.50855324510759958"/>
        </c:manualLayout>
      </c:layout>
    </c:legend>
    <c:plotVisOnly val="1"/>
    <c:dispBlanksAs val="zero"/>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6.2404467408316337E-2"/>
          <c:y val="4.4057617797775513E-2"/>
          <c:w val="0.71189488577202298"/>
          <c:h val="0.7893855474243906"/>
        </c:manualLayout>
      </c:layout>
      <c:lineChart>
        <c:grouping val="standard"/>
        <c:ser>
          <c:idx val="0"/>
          <c:order val="0"/>
          <c:tx>
            <c:strRef>
              <c:f>Sheet1!$B$1</c:f>
              <c:strCache>
                <c:ptCount val="1"/>
                <c:pt idx="0">
                  <c:v>Anemia in the West Bank</c:v>
                </c:pt>
              </c:strCache>
            </c:strRef>
          </c:tx>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numRef>
              <c:f>Sheet1!$A$2:$A$7</c:f>
              <c:numCache>
                <c:formatCode>General</c:formatCode>
                <c:ptCount val="6"/>
                <c:pt idx="0">
                  <c:v>2006</c:v>
                </c:pt>
                <c:pt idx="1">
                  <c:v>2007</c:v>
                </c:pt>
                <c:pt idx="2">
                  <c:v>2008</c:v>
                </c:pt>
                <c:pt idx="3">
                  <c:v>2009</c:v>
                </c:pt>
                <c:pt idx="4">
                  <c:v>2010</c:v>
                </c:pt>
                <c:pt idx="5">
                  <c:v>2011</c:v>
                </c:pt>
              </c:numCache>
            </c:numRef>
          </c:cat>
          <c:val>
            <c:numRef>
              <c:f>Sheet1!$B$2:$B$7</c:f>
              <c:numCache>
                <c:formatCode>0.0</c:formatCode>
                <c:ptCount val="6"/>
                <c:pt idx="0">
                  <c:v>52</c:v>
                </c:pt>
                <c:pt idx="1">
                  <c:v>51</c:v>
                </c:pt>
                <c:pt idx="2">
                  <c:v>45.4</c:v>
                </c:pt>
                <c:pt idx="3">
                  <c:v>47.7</c:v>
                </c:pt>
                <c:pt idx="4">
                  <c:v>45.5</c:v>
                </c:pt>
                <c:pt idx="5">
                  <c:v>48.9</c:v>
                </c:pt>
              </c:numCache>
            </c:numRef>
          </c:val>
        </c:ser>
        <c:ser>
          <c:idx val="1"/>
          <c:order val="1"/>
          <c:tx>
            <c:strRef>
              <c:f>Sheet1!$C$1</c:f>
              <c:strCache>
                <c:ptCount val="1"/>
                <c:pt idx="0">
                  <c:v>Anemia in the Gaza Strip</c:v>
                </c:pt>
              </c:strCache>
            </c:strRef>
          </c:tx>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numRef>
              <c:f>Sheet1!$A$2:$A$7</c:f>
              <c:numCache>
                <c:formatCode>General</c:formatCode>
                <c:ptCount val="6"/>
                <c:pt idx="0">
                  <c:v>2006</c:v>
                </c:pt>
                <c:pt idx="1">
                  <c:v>2007</c:v>
                </c:pt>
                <c:pt idx="2">
                  <c:v>2008</c:v>
                </c:pt>
                <c:pt idx="3">
                  <c:v>2009</c:v>
                </c:pt>
                <c:pt idx="4">
                  <c:v>2010</c:v>
                </c:pt>
                <c:pt idx="5">
                  <c:v>2011</c:v>
                </c:pt>
              </c:numCache>
            </c:numRef>
          </c:cat>
          <c:val>
            <c:numRef>
              <c:f>Sheet1!$C$2:$C$7</c:f>
              <c:numCache>
                <c:formatCode>0.0</c:formatCode>
                <c:ptCount val="6"/>
                <c:pt idx="0">
                  <c:v>68.2</c:v>
                </c:pt>
                <c:pt idx="1">
                  <c:v>71.2</c:v>
                </c:pt>
                <c:pt idx="2">
                  <c:v>73.400000000000006</c:v>
                </c:pt>
                <c:pt idx="3">
                  <c:v>74</c:v>
                </c:pt>
                <c:pt idx="4">
                  <c:v>76.2</c:v>
                </c:pt>
                <c:pt idx="5">
                  <c:v>68.099999999999994</c:v>
                </c:pt>
              </c:numCache>
            </c:numRef>
          </c:val>
        </c:ser>
        <c:marker val="1"/>
        <c:axId val="205808384"/>
        <c:axId val="205809920"/>
      </c:lineChart>
      <c:catAx>
        <c:axId val="205808384"/>
        <c:scaling>
          <c:orientation val="minMax"/>
        </c:scaling>
        <c:axPos val="b"/>
        <c:numFmt formatCode="General" sourceLinked="1"/>
        <c:tickLblPos val="nextTo"/>
        <c:crossAx val="205809920"/>
        <c:crosses val="autoZero"/>
        <c:auto val="1"/>
        <c:lblAlgn val="ctr"/>
        <c:lblOffset val="100"/>
      </c:catAx>
      <c:valAx>
        <c:axId val="205809920"/>
        <c:scaling>
          <c:orientation val="minMax"/>
          <c:max val="90"/>
          <c:min val="30"/>
        </c:scaling>
        <c:axPos val="l"/>
        <c:majorGridlines/>
        <c:numFmt formatCode="0" sourceLinked="0"/>
        <c:tickLblPos val="nextTo"/>
        <c:crossAx val="205808384"/>
        <c:crosses val="autoZero"/>
        <c:crossBetween val="between"/>
        <c:majorUnit val="10"/>
        <c:minorUnit val="10"/>
      </c:valAx>
    </c:plotArea>
    <c:legend>
      <c:legendPos val="t"/>
      <c:layout>
        <c:manualLayout>
          <c:xMode val="edge"/>
          <c:yMode val="edge"/>
          <c:x val="0.78057807105274157"/>
          <c:y val="0.13741735624551904"/>
          <c:w val="0.20784728013092355"/>
          <c:h val="0.35443166216589561"/>
        </c:manualLayout>
      </c:layout>
      <c:spPr>
        <a:ln>
          <a:solidFill>
            <a:srgbClr val="4F81BD"/>
          </a:solidFill>
        </a:ln>
      </c:spPr>
      <c:txPr>
        <a:bodyPr/>
        <a:lstStyle/>
        <a:p>
          <a:pPr rtl="0">
            <a:defRPr/>
          </a:pPr>
          <a:endParaRPr lang="en-US"/>
        </a:p>
      </c:txP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6.7719998541849985E-2"/>
          <c:y val="6.4675925925925928E-2"/>
          <c:w val="0.58083315106444267"/>
          <c:h val="0.78802962962962964"/>
        </c:manualLayout>
      </c:layout>
      <c:barChart>
        <c:barDir val="col"/>
        <c:grouping val="clustered"/>
        <c:ser>
          <c:idx val="0"/>
          <c:order val="0"/>
          <c:tx>
            <c:strRef>
              <c:f>Sheet1!$B$1</c:f>
              <c:strCache>
                <c:ptCount val="1"/>
                <c:pt idx="0">
                  <c:v> In US dollars the cost per student in the education sector</c:v>
                </c:pt>
              </c:strCache>
            </c:strRef>
          </c:tx>
          <c:dLbls>
            <c:dLbl>
              <c:idx val="0"/>
              <c:layout>
                <c:manualLayout>
                  <c:x val="0"/>
                  <c:y val="2.9465930018417012E-2"/>
                </c:manualLayout>
              </c:layout>
              <c:showVal val="1"/>
              <c:extLst>
                <c:ext xmlns:c15="http://schemas.microsoft.com/office/drawing/2012/chart" uri="{CE6537A1-D6FC-4f65-9D91-7224C49458BB}"/>
              </c:extLst>
            </c:dLbl>
            <c:dLbl>
              <c:idx val="1"/>
              <c:layout>
                <c:manualLayout>
                  <c:x val="-2.3148148148148147E-3"/>
                  <c:y val="1.4732965009208105E-2"/>
                </c:manualLayout>
              </c:layout>
              <c:showVal val="1"/>
              <c:extLst>
                <c:ext xmlns:c15="http://schemas.microsoft.com/office/drawing/2012/chart" uri="{CE6537A1-D6FC-4f65-9D91-7224C49458BB}"/>
              </c:extLst>
            </c:dLbl>
            <c:dLbl>
              <c:idx val="2"/>
              <c:tx>
                <c:rich>
                  <a:bodyPr/>
                  <a:lstStyle/>
                  <a:p>
                    <a:r>
                      <a:rPr lang="en-US"/>
                      <a:t>757.0</a:t>
                    </a:r>
                  </a:p>
                </c:rich>
              </c:tx>
              <c:showVal val="1"/>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strRef>
              <c:f>Sheet1!$A$2:$A$5</c:f>
              <c:strCache>
                <c:ptCount val="4"/>
                <c:pt idx="0">
                  <c:v>2008-2009</c:v>
                </c:pt>
                <c:pt idx="1">
                  <c:v>2009-2010</c:v>
                </c:pt>
                <c:pt idx="2">
                  <c:v>2010-2011</c:v>
                </c:pt>
                <c:pt idx="3">
                  <c:v>2011-2012</c:v>
                </c:pt>
              </c:strCache>
            </c:strRef>
          </c:cat>
          <c:val>
            <c:numRef>
              <c:f>Sheet1!$B$2:$B$5</c:f>
              <c:numCache>
                <c:formatCode>0.0</c:formatCode>
                <c:ptCount val="4"/>
                <c:pt idx="0">
                  <c:v>709.3</c:v>
                </c:pt>
                <c:pt idx="1">
                  <c:v>693.4</c:v>
                </c:pt>
                <c:pt idx="2" formatCode="0">
                  <c:v>757</c:v>
                </c:pt>
                <c:pt idx="3">
                  <c:v>823.1</c:v>
                </c:pt>
              </c:numCache>
            </c:numRef>
          </c:val>
        </c:ser>
        <c:axId val="198507136"/>
        <c:axId val="203243904"/>
      </c:barChart>
      <c:lineChart>
        <c:grouping val="standard"/>
        <c:ser>
          <c:idx val="1"/>
          <c:order val="1"/>
          <c:tx>
            <c:strRef>
              <c:f>Sheet1!$C$1</c:f>
              <c:strCache>
                <c:ptCount val="1"/>
                <c:pt idx="0">
                  <c:v>Percentage of spending on  education in public budget </c:v>
                </c:pt>
              </c:strCache>
            </c:strRef>
          </c:tx>
          <c:dLbls>
            <c:dLbl>
              <c:idx val="0"/>
              <c:layout>
                <c:manualLayout>
                  <c:x val="-3.9351851851851853E-2"/>
                  <c:y val="-0.11049723756906081"/>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layout>
                <c:manualLayout>
                  <c:x val="6.9444444444445429E-3"/>
                  <c:y val="-1.7638888888888891E-2"/>
                </c:manualLayout>
              </c:layout>
              <c:showVal val="1"/>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strRef>
              <c:f>Sheet1!$A$2:$A$5</c:f>
              <c:strCache>
                <c:ptCount val="4"/>
                <c:pt idx="0">
                  <c:v>2008-2009</c:v>
                </c:pt>
                <c:pt idx="1">
                  <c:v>2009-2010</c:v>
                </c:pt>
                <c:pt idx="2">
                  <c:v>2010-2011</c:v>
                </c:pt>
                <c:pt idx="3">
                  <c:v>2011-2012</c:v>
                </c:pt>
              </c:strCache>
            </c:strRef>
          </c:cat>
          <c:val>
            <c:numRef>
              <c:f>Sheet1!$C$2:$C$5</c:f>
              <c:numCache>
                <c:formatCode>General</c:formatCode>
                <c:ptCount val="4"/>
                <c:pt idx="0">
                  <c:v>17.8</c:v>
                </c:pt>
                <c:pt idx="1">
                  <c:v>17.2</c:v>
                </c:pt>
                <c:pt idx="2">
                  <c:v>17.7</c:v>
                </c:pt>
                <c:pt idx="3">
                  <c:v>17.7</c:v>
                </c:pt>
              </c:numCache>
            </c:numRef>
          </c:val>
        </c:ser>
        <c:marker val="1"/>
        <c:axId val="203246976"/>
        <c:axId val="203245440"/>
      </c:lineChart>
      <c:catAx>
        <c:axId val="198507136"/>
        <c:scaling>
          <c:orientation val="minMax"/>
        </c:scaling>
        <c:axPos val="b"/>
        <c:numFmt formatCode="General" sourceLinked="0"/>
        <c:tickLblPos val="nextTo"/>
        <c:crossAx val="203243904"/>
        <c:crosses val="autoZero"/>
        <c:auto val="1"/>
        <c:lblAlgn val="ctr"/>
        <c:lblOffset val="100"/>
      </c:catAx>
      <c:valAx>
        <c:axId val="203243904"/>
        <c:scaling>
          <c:orientation val="minMax"/>
          <c:max val="850"/>
          <c:min val="600"/>
        </c:scaling>
        <c:axPos val="l"/>
        <c:majorGridlines/>
        <c:numFmt formatCode="0" sourceLinked="0"/>
        <c:tickLblPos val="nextTo"/>
        <c:txPr>
          <a:bodyPr/>
          <a:lstStyle/>
          <a:p>
            <a:pPr>
              <a:defRPr sz="900">
                <a:latin typeface="Arial" pitchFamily="34" charset="0"/>
                <a:cs typeface="Arial" pitchFamily="34" charset="0"/>
              </a:defRPr>
            </a:pPr>
            <a:endParaRPr lang="en-US"/>
          </a:p>
        </c:txPr>
        <c:crossAx val="198507136"/>
        <c:crosses val="autoZero"/>
        <c:crossBetween val="between"/>
        <c:majorUnit val="50"/>
      </c:valAx>
      <c:valAx>
        <c:axId val="203245440"/>
        <c:scaling>
          <c:orientation val="minMax"/>
          <c:max val="30"/>
          <c:min val="0"/>
        </c:scaling>
        <c:axPos val="r"/>
        <c:numFmt formatCode="General" sourceLinked="1"/>
        <c:tickLblPos val="nextTo"/>
        <c:txPr>
          <a:bodyPr/>
          <a:lstStyle/>
          <a:p>
            <a:pPr>
              <a:defRPr sz="900">
                <a:latin typeface="Arial" pitchFamily="34" charset="0"/>
                <a:cs typeface="Arial" pitchFamily="34" charset="0"/>
              </a:defRPr>
            </a:pPr>
            <a:endParaRPr lang="en-US"/>
          </a:p>
        </c:txPr>
        <c:crossAx val="203246976"/>
        <c:crosses val="max"/>
        <c:crossBetween val="between"/>
        <c:majorUnit val="5"/>
      </c:valAx>
      <c:catAx>
        <c:axId val="203246976"/>
        <c:scaling>
          <c:orientation val="minMax"/>
        </c:scaling>
        <c:delete val="1"/>
        <c:axPos val="b"/>
        <c:numFmt formatCode="General" sourceLinked="1"/>
        <c:tickLblPos val="none"/>
        <c:crossAx val="203245440"/>
        <c:crosses val="autoZero"/>
        <c:auto val="1"/>
        <c:lblAlgn val="ctr"/>
        <c:lblOffset val="100"/>
      </c:catAx>
    </c:plotArea>
    <c:legend>
      <c:legendPos val="r"/>
      <c:layout>
        <c:manualLayout>
          <c:xMode val="edge"/>
          <c:yMode val="edge"/>
          <c:x val="0.71100685331002522"/>
          <c:y val="4.8201157175794256E-2"/>
          <c:w val="0.27510425780110825"/>
          <c:h val="0.91833007061962568"/>
        </c:manualLayout>
      </c:layout>
      <c:spPr>
        <a:ln>
          <a:solidFill>
            <a:schemeClr val="accent1"/>
          </a:solidFill>
        </a:ln>
      </c:spPr>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4.8254228638086906E-2"/>
          <c:y val="4.4057617797775513E-2"/>
          <c:w val="0.73277844447933238"/>
          <c:h val="0.86174561041400299"/>
        </c:manualLayout>
      </c:layout>
      <c:lineChart>
        <c:grouping val="standard"/>
        <c:ser>
          <c:idx val="0"/>
          <c:order val="0"/>
          <c:tx>
            <c:strRef>
              <c:f>Sheet1!$B$1</c:f>
              <c:strCache>
                <c:ptCount val="1"/>
                <c:pt idx="0">
                  <c:v>Underweight</c:v>
                </c:pt>
              </c:strCache>
            </c:strRef>
          </c:tx>
          <c:dLbls>
            <c:dLbl>
              <c:idx val="0"/>
              <c:layout>
                <c:manualLayout>
                  <c:x val="-2.212814951520187E-2"/>
                  <c:y val="-6.1098952177024782E-2"/>
                </c:manualLayout>
              </c:layout>
              <c:dLblPos val="r"/>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layout>
                <c:manualLayout>
                  <c:x val="-4.4256299030404778E-3"/>
                  <c:y val="-3.2899435787629654E-2"/>
                </c:manualLayout>
              </c:layout>
              <c:dLblPos val="r"/>
              <c:showVal val="1"/>
              <c:extLst>
                <c:ext xmlns:c15="http://schemas.microsoft.com/office/drawing/2012/chart" uri="{CE6537A1-D6FC-4f65-9D91-7224C49458BB}"/>
              </c:extLst>
            </c:dLbl>
            <c:spPr>
              <a:noFill/>
              <a:ln>
                <a:noFill/>
              </a:ln>
              <a:effectLst/>
            </c:spPr>
            <c:dLblPos val="r"/>
            <c:showVal val="1"/>
            <c:extLst>
              <c:ext xmlns:c15="http://schemas.microsoft.com/office/drawing/2012/chart" uri="{CE6537A1-D6FC-4f65-9D91-7224C49458BB}">
                <c15:showLeaderLines val="0"/>
              </c:ext>
            </c:extLst>
          </c:dLbls>
          <c:cat>
            <c:numRef>
              <c:f>Sheet1!$A$2:$A$6</c:f>
              <c:numCache>
                <c:formatCode>General</c:formatCode>
                <c:ptCount val="5"/>
                <c:pt idx="0">
                  <c:v>2000</c:v>
                </c:pt>
                <c:pt idx="1">
                  <c:v>2004</c:v>
                </c:pt>
                <c:pt idx="2">
                  <c:v>2006</c:v>
                </c:pt>
                <c:pt idx="3">
                  <c:v>2010</c:v>
                </c:pt>
                <c:pt idx="4">
                  <c:v>2014</c:v>
                </c:pt>
              </c:numCache>
            </c:numRef>
          </c:cat>
          <c:val>
            <c:numRef>
              <c:f>Sheet1!$B$2:$B$6</c:f>
              <c:numCache>
                <c:formatCode>0.0</c:formatCode>
                <c:ptCount val="5"/>
                <c:pt idx="0">
                  <c:v>2.6</c:v>
                </c:pt>
                <c:pt idx="1">
                  <c:v>4.8</c:v>
                </c:pt>
                <c:pt idx="2">
                  <c:v>3.2</c:v>
                </c:pt>
                <c:pt idx="3">
                  <c:v>3.9</c:v>
                </c:pt>
                <c:pt idx="4">
                  <c:v>1.5</c:v>
                </c:pt>
              </c:numCache>
            </c:numRef>
          </c:val>
        </c:ser>
        <c:ser>
          <c:idx val="1"/>
          <c:order val="1"/>
          <c:tx>
            <c:strRef>
              <c:f>Sheet1!$C$1</c:f>
              <c:strCache>
                <c:ptCount val="1"/>
                <c:pt idx="0">
                  <c:v>Underweight in the Gaza Strip</c:v>
                </c:pt>
              </c:strCache>
            </c:strRef>
          </c:tx>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layout>
                <c:manualLayout>
                  <c:x val="7.4120589006039766E-4"/>
                  <c:y val="2.8199516389396093E-2"/>
                </c:manualLayout>
              </c:layout>
              <c:dLblPos val="r"/>
              <c:showVal val="1"/>
              <c:extLst>
                <c:ext xmlns:c15="http://schemas.microsoft.com/office/drawing/2012/chart" uri="{CE6537A1-D6FC-4f65-9D91-7224C49458BB}"/>
              </c:extLst>
            </c:dLbl>
            <c:spPr>
              <a:noFill/>
              <a:ln>
                <a:noFill/>
              </a:ln>
              <a:effectLst/>
            </c:spPr>
            <c:dLblPos val="l"/>
            <c:showVal val="1"/>
            <c:extLst>
              <c:ext xmlns:c15="http://schemas.microsoft.com/office/drawing/2012/chart" uri="{CE6537A1-D6FC-4f65-9D91-7224C49458BB}">
                <c15:showLeaderLines val="0"/>
              </c:ext>
            </c:extLst>
          </c:dLbls>
          <c:cat>
            <c:numRef>
              <c:f>Sheet1!$A$2:$A$6</c:f>
              <c:numCache>
                <c:formatCode>General</c:formatCode>
                <c:ptCount val="5"/>
                <c:pt idx="0">
                  <c:v>2000</c:v>
                </c:pt>
                <c:pt idx="1">
                  <c:v>2004</c:v>
                </c:pt>
                <c:pt idx="2">
                  <c:v>2006</c:v>
                </c:pt>
                <c:pt idx="3">
                  <c:v>2010</c:v>
                </c:pt>
                <c:pt idx="4">
                  <c:v>2014</c:v>
                </c:pt>
              </c:numCache>
            </c:numRef>
          </c:cat>
          <c:val>
            <c:numRef>
              <c:f>Sheet1!$C$2:$C$6</c:f>
              <c:numCache>
                <c:formatCode>0.0</c:formatCode>
                <c:ptCount val="5"/>
                <c:pt idx="0">
                  <c:v>2.4</c:v>
                </c:pt>
                <c:pt idx="1">
                  <c:v>4.9000000000000004</c:v>
                </c:pt>
                <c:pt idx="2">
                  <c:v>2.4</c:v>
                </c:pt>
                <c:pt idx="3">
                  <c:v>3.5</c:v>
                </c:pt>
                <c:pt idx="4">
                  <c:v>1.3</c:v>
                </c:pt>
              </c:numCache>
            </c:numRef>
          </c:val>
        </c:ser>
        <c:ser>
          <c:idx val="2"/>
          <c:order val="2"/>
          <c:tx>
            <c:strRef>
              <c:f>Sheet1!$D$1</c:f>
              <c:strCache>
                <c:ptCount val="1"/>
                <c:pt idx="0">
                  <c:v>Wasting in the West Bank</c:v>
                </c:pt>
              </c:strCache>
            </c:strRef>
          </c:tx>
          <c:dLbls>
            <c:dLbl>
              <c:idx val="0"/>
              <c:layout>
                <c:manualLayout>
                  <c:x val="-5.9375400746014884E-2"/>
                  <c:y val="2.8681350645813959E-2"/>
                </c:manualLayout>
              </c:layout>
              <c:dLblPos val="r"/>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layout>
                <c:manualLayout>
                  <c:x val="-5.0524140939934098E-2"/>
                  <c:y val="-5.5917568594768506E-2"/>
                </c:manualLayout>
              </c:layout>
              <c:dLblPos val="r"/>
              <c:showVal val="1"/>
              <c:extLst>
                <c:ext xmlns:c15="http://schemas.microsoft.com/office/drawing/2012/chart" uri="{CE6537A1-D6FC-4f65-9D91-7224C49458BB}"/>
              </c:extLst>
            </c:dLbl>
            <c:spPr>
              <a:noFill/>
              <a:ln>
                <a:noFill/>
              </a:ln>
              <a:effectLst/>
            </c:spPr>
            <c:dLblPos val="b"/>
            <c:showVal val="1"/>
            <c:extLst>
              <c:ext xmlns:c15="http://schemas.microsoft.com/office/drawing/2012/chart" uri="{CE6537A1-D6FC-4f65-9D91-7224C49458BB}">
                <c15:showLeaderLines val="0"/>
              </c:ext>
            </c:extLst>
          </c:dLbls>
          <c:cat>
            <c:numRef>
              <c:f>Sheet1!$A$2:$A$6</c:f>
              <c:numCache>
                <c:formatCode>General</c:formatCode>
                <c:ptCount val="5"/>
                <c:pt idx="0">
                  <c:v>2000</c:v>
                </c:pt>
                <c:pt idx="1">
                  <c:v>2004</c:v>
                </c:pt>
                <c:pt idx="2">
                  <c:v>2006</c:v>
                </c:pt>
                <c:pt idx="3">
                  <c:v>2010</c:v>
                </c:pt>
                <c:pt idx="4">
                  <c:v>2014</c:v>
                </c:pt>
              </c:numCache>
            </c:numRef>
          </c:cat>
          <c:val>
            <c:numRef>
              <c:f>Sheet1!$D$2:$D$6</c:f>
              <c:numCache>
                <c:formatCode>0.0</c:formatCode>
                <c:ptCount val="5"/>
                <c:pt idx="0">
                  <c:v>1.5</c:v>
                </c:pt>
                <c:pt idx="1">
                  <c:v>2.1</c:v>
                </c:pt>
                <c:pt idx="2">
                  <c:v>1.7</c:v>
                </c:pt>
                <c:pt idx="3">
                  <c:v>2.7</c:v>
                </c:pt>
                <c:pt idx="4">
                  <c:v>1.7</c:v>
                </c:pt>
              </c:numCache>
            </c:numRef>
          </c:val>
        </c:ser>
        <c:ser>
          <c:idx val="3"/>
          <c:order val="3"/>
          <c:tx>
            <c:strRef>
              <c:f>Sheet1!$E$1</c:f>
              <c:strCache>
                <c:ptCount val="1"/>
                <c:pt idx="0">
                  <c:v>Wasting in the Gaza srip</c:v>
                </c:pt>
              </c:strCache>
            </c:strRef>
          </c:tx>
          <c:dLbls>
            <c:dLbl>
              <c:idx val="0"/>
              <c:layout>
                <c:manualLayout>
                  <c:x val="-1.2906286764090924E-2"/>
                  <c:y val="4.2781108840511534E-2"/>
                </c:manualLayout>
              </c:layout>
              <c:dLblPos val="r"/>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layout>
                <c:manualLayout>
                  <c:x val="-3.282162132777261E-2"/>
                  <c:y val="4.2781108840511534E-2"/>
                </c:manualLayout>
              </c:layout>
              <c:dLblPos val="r"/>
              <c:showVal val="1"/>
              <c:extLst>
                <c:ext xmlns:c15="http://schemas.microsoft.com/office/drawing/2012/chart" uri="{CE6537A1-D6FC-4f65-9D91-7224C49458BB}"/>
              </c:extLst>
            </c:dLbl>
            <c:spPr>
              <a:noFill/>
              <a:ln>
                <a:noFill/>
              </a:ln>
              <a:effectLst/>
            </c:spPr>
            <c:dLblPos val="b"/>
            <c:showVal val="1"/>
            <c:extLst>
              <c:ext xmlns:c15="http://schemas.microsoft.com/office/drawing/2012/chart" uri="{CE6537A1-D6FC-4f65-9D91-7224C49458BB}">
                <c15:showLeaderLines val="0"/>
              </c:ext>
            </c:extLst>
          </c:dLbls>
          <c:cat>
            <c:numRef>
              <c:f>Sheet1!$A$2:$A$6</c:f>
              <c:numCache>
                <c:formatCode>General</c:formatCode>
                <c:ptCount val="5"/>
                <c:pt idx="0">
                  <c:v>2000</c:v>
                </c:pt>
                <c:pt idx="1">
                  <c:v>2004</c:v>
                </c:pt>
                <c:pt idx="2">
                  <c:v>2006</c:v>
                </c:pt>
                <c:pt idx="3">
                  <c:v>2010</c:v>
                </c:pt>
                <c:pt idx="4">
                  <c:v>2014</c:v>
                </c:pt>
              </c:numCache>
            </c:numRef>
          </c:cat>
          <c:val>
            <c:numRef>
              <c:f>Sheet1!$E$2:$E$6</c:f>
              <c:numCache>
                <c:formatCode>0.0</c:formatCode>
                <c:ptCount val="5"/>
                <c:pt idx="0">
                  <c:v>1.4</c:v>
                </c:pt>
                <c:pt idx="1">
                  <c:v>1.4</c:v>
                </c:pt>
                <c:pt idx="2">
                  <c:v>1.2</c:v>
                </c:pt>
                <c:pt idx="3">
                  <c:v>3.6</c:v>
                </c:pt>
                <c:pt idx="4">
                  <c:v>0.70000000000000062</c:v>
                </c:pt>
              </c:numCache>
            </c:numRef>
          </c:val>
        </c:ser>
        <c:ser>
          <c:idx val="4"/>
          <c:order val="4"/>
          <c:tx>
            <c:strRef>
              <c:f>Sheet1!$F$1</c:f>
              <c:strCache>
                <c:ptCount val="1"/>
                <c:pt idx="0">
                  <c:v>Stunting in the West Bank</c:v>
                </c:pt>
              </c:strCache>
            </c:strRef>
          </c:tx>
          <c:dLbls>
            <c:dLbl>
              <c:idx val="3"/>
              <c:layout>
                <c:manualLayout>
                  <c:x val="-4.2856650014219004E-2"/>
                  <c:y val="-5.591719852237495E-2"/>
                </c:manualLayout>
              </c:layout>
              <c:dLblPos val="r"/>
              <c:showVal val="1"/>
              <c:extLst>
                <c:ext xmlns:c15="http://schemas.microsoft.com/office/drawing/2012/chart" uri="{CE6537A1-D6FC-4f65-9D91-7224C49458BB}"/>
              </c:extLst>
            </c:dLbl>
            <c:dLbl>
              <c:idx val="4"/>
              <c:layout>
                <c:manualLayout>
                  <c:x val="-4.0550269580101814E-3"/>
                  <c:y val="-1.3617923938280806E-2"/>
                </c:manualLayout>
              </c:layout>
              <c:dLblPos val="r"/>
              <c:showVal val="1"/>
              <c:extLst>
                <c:ext xmlns:c15="http://schemas.microsoft.com/office/drawing/2012/chart" uri="{CE6537A1-D6FC-4f65-9D91-7224C49458BB}"/>
              </c:extLst>
            </c:dLbl>
            <c:spPr>
              <a:noFill/>
              <a:ln>
                <a:noFill/>
              </a:ln>
              <a:effectLst/>
            </c:spPr>
            <c:dLblPos val="b"/>
            <c:showVal val="1"/>
            <c:extLst>
              <c:ext xmlns:c15="http://schemas.microsoft.com/office/drawing/2012/chart" uri="{CE6537A1-D6FC-4f65-9D91-7224C49458BB}">
                <c15:showLeaderLines val="0"/>
              </c:ext>
            </c:extLst>
          </c:dLbls>
          <c:cat>
            <c:numRef>
              <c:f>Sheet1!$A$2:$A$6</c:f>
              <c:numCache>
                <c:formatCode>General</c:formatCode>
                <c:ptCount val="5"/>
                <c:pt idx="0">
                  <c:v>2000</c:v>
                </c:pt>
                <c:pt idx="1">
                  <c:v>2004</c:v>
                </c:pt>
                <c:pt idx="2">
                  <c:v>2006</c:v>
                </c:pt>
                <c:pt idx="3">
                  <c:v>2010</c:v>
                </c:pt>
                <c:pt idx="4">
                  <c:v>2014</c:v>
                </c:pt>
              </c:numCache>
            </c:numRef>
          </c:cat>
          <c:val>
            <c:numRef>
              <c:f>Sheet1!$F$2:$F$6</c:f>
              <c:numCache>
                <c:formatCode>0.0</c:formatCode>
                <c:ptCount val="5"/>
                <c:pt idx="0">
                  <c:v>7</c:v>
                </c:pt>
                <c:pt idx="1">
                  <c:v>8.8000000000000007</c:v>
                </c:pt>
                <c:pt idx="2">
                  <c:v>7.9</c:v>
                </c:pt>
                <c:pt idx="3">
                  <c:v>11.5</c:v>
                </c:pt>
                <c:pt idx="4">
                  <c:v>7.7</c:v>
                </c:pt>
              </c:numCache>
            </c:numRef>
          </c:val>
        </c:ser>
        <c:ser>
          <c:idx val="5"/>
          <c:order val="5"/>
          <c:tx>
            <c:strRef>
              <c:f>Sheet1!$G$1</c:f>
              <c:strCache>
                <c:ptCount val="1"/>
                <c:pt idx="0">
                  <c:v>Stunting in the Gaza Strip</c:v>
                </c:pt>
              </c:strCache>
            </c:strRef>
          </c:tx>
          <c:dLbls>
            <c:dLbl>
              <c:idx val="0"/>
              <c:layout>
                <c:manualLayout>
                  <c:x val="-5.2736955891454412E-2"/>
                  <c:y val="-4.1817440327676904E-2"/>
                </c:manualLayout>
              </c:layout>
              <c:dLblPos val="r"/>
              <c:showVal val="1"/>
              <c:extLst>
                <c:ext xmlns:c15="http://schemas.microsoft.com/office/drawing/2012/chart" uri="{CE6537A1-D6FC-4f65-9D91-7224C49458BB}"/>
              </c:extLst>
            </c:dLbl>
            <c:spPr>
              <a:noFill/>
              <a:ln>
                <a:noFill/>
              </a:ln>
              <a:effectLst/>
            </c:spPr>
            <c:dLblPos val="b"/>
            <c:showVal val="1"/>
            <c:extLst>
              <c:ext xmlns:c15="http://schemas.microsoft.com/office/drawing/2012/chart" uri="{CE6537A1-D6FC-4f65-9D91-7224C49458BB}">
                <c15:showLeaderLines val="0"/>
              </c:ext>
            </c:extLst>
          </c:dLbls>
          <c:cat>
            <c:numRef>
              <c:f>Sheet1!$A$2:$A$6</c:f>
              <c:numCache>
                <c:formatCode>General</c:formatCode>
                <c:ptCount val="5"/>
                <c:pt idx="0">
                  <c:v>2000</c:v>
                </c:pt>
                <c:pt idx="1">
                  <c:v>2004</c:v>
                </c:pt>
                <c:pt idx="2">
                  <c:v>2006</c:v>
                </c:pt>
                <c:pt idx="3">
                  <c:v>2010</c:v>
                </c:pt>
                <c:pt idx="4">
                  <c:v>2014</c:v>
                </c:pt>
              </c:numCache>
            </c:numRef>
          </c:cat>
          <c:val>
            <c:numRef>
              <c:f>Sheet1!$G$2:$G$6</c:f>
              <c:numCache>
                <c:formatCode>0.0</c:formatCode>
                <c:ptCount val="5"/>
                <c:pt idx="0">
                  <c:v>8.3000000000000007</c:v>
                </c:pt>
                <c:pt idx="1">
                  <c:v>11.4</c:v>
                </c:pt>
                <c:pt idx="2">
                  <c:v>13.2</c:v>
                </c:pt>
                <c:pt idx="3">
                  <c:v>10.4</c:v>
                </c:pt>
                <c:pt idx="4">
                  <c:v>7.1</c:v>
                </c:pt>
              </c:numCache>
            </c:numRef>
          </c:val>
        </c:ser>
        <c:dLbls>
          <c:showVal val="1"/>
        </c:dLbls>
        <c:marker val="1"/>
        <c:axId val="205765248"/>
        <c:axId val="206905728"/>
      </c:lineChart>
      <c:catAx>
        <c:axId val="205765248"/>
        <c:scaling>
          <c:orientation val="minMax"/>
        </c:scaling>
        <c:axPos val="b"/>
        <c:numFmt formatCode="General" sourceLinked="1"/>
        <c:tickLblPos val="nextTo"/>
        <c:crossAx val="206905728"/>
        <c:crosses val="autoZero"/>
        <c:auto val="1"/>
        <c:lblAlgn val="ctr"/>
        <c:lblOffset val="100"/>
      </c:catAx>
      <c:valAx>
        <c:axId val="206905728"/>
        <c:scaling>
          <c:orientation val="minMax"/>
          <c:max val="14"/>
          <c:min val="0"/>
        </c:scaling>
        <c:axPos val="l"/>
        <c:majorGridlines/>
        <c:numFmt formatCode="0" sourceLinked="0"/>
        <c:tickLblPos val="nextTo"/>
        <c:crossAx val="205765248"/>
        <c:crosses val="autoZero"/>
        <c:crossBetween val="between"/>
        <c:minorUnit val="0.2"/>
      </c:valAx>
    </c:plotArea>
    <c:legend>
      <c:legendPos val="r"/>
      <c:layout>
        <c:manualLayout>
          <c:xMode val="edge"/>
          <c:yMode val="edge"/>
          <c:x val="0.79032898087878667"/>
          <c:y val="9.3822048103615552E-2"/>
          <c:w val="0.20503344332081491"/>
          <c:h val="0.79573669201169162"/>
        </c:manualLayout>
      </c:layout>
      <c:spPr>
        <a:ln>
          <a:solidFill>
            <a:srgbClr val="4F81BD"/>
          </a:solidFill>
        </a:ln>
      </c:spPr>
    </c:legend>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5.9727177126123882E-2"/>
          <c:y val="4.4057617797775513E-2"/>
          <c:w val="0.68940527670986462"/>
          <c:h val="0.82690446841725629"/>
        </c:manualLayout>
      </c:layout>
      <c:lineChart>
        <c:grouping val="standard"/>
        <c:ser>
          <c:idx val="0"/>
          <c:order val="0"/>
          <c:tx>
            <c:strRef>
              <c:f>Sheet1!$B$1</c:f>
              <c:strCache>
                <c:ptCount val="1"/>
                <c:pt idx="0">
                  <c:v>Underweight/West Bank</c:v>
                </c:pt>
              </c:strCache>
            </c:strRef>
          </c:tx>
          <c:spPr>
            <a:ln w="22225"/>
          </c:spPr>
          <c:dLbls>
            <c:dLbl>
              <c:idx val="0"/>
              <c:layout>
                <c:manualLayout>
                  <c:x val="-6.4814814814819197E-2"/>
                  <c:y val="1.1904761904761921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LblPos val="r"/>
              <c:showVal val="1"/>
              <c:extLst>
                <c:ext xmlns:c15="http://schemas.microsoft.com/office/drawing/2012/chart" uri="{CE6537A1-D6FC-4f65-9D91-7224C49458BB}"/>
              </c:extLst>
            </c:dLbl>
            <c:dLbl>
              <c:idx val="6"/>
              <c:layout>
                <c:manualLayout>
                  <c:x val="-6.9444444444447121E-3"/>
                  <c:y val="-4.9886621315196063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Sheet1!$A$2:$A$7</c:f>
              <c:numCache>
                <c:formatCode>General</c:formatCode>
                <c:ptCount val="6"/>
                <c:pt idx="0">
                  <c:v>2006</c:v>
                </c:pt>
                <c:pt idx="1">
                  <c:v>2007</c:v>
                </c:pt>
                <c:pt idx="2">
                  <c:v>2008</c:v>
                </c:pt>
                <c:pt idx="3">
                  <c:v>2009</c:v>
                </c:pt>
                <c:pt idx="4">
                  <c:v>2010</c:v>
                </c:pt>
                <c:pt idx="5">
                  <c:v>2011</c:v>
                </c:pt>
              </c:numCache>
            </c:numRef>
          </c:cat>
          <c:val>
            <c:numRef>
              <c:f>Sheet1!$B$2:$B$7</c:f>
              <c:numCache>
                <c:formatCode>0.0</c:formatCode>
                <c:ptCount val="6"/>
                <c:pt idx="0">
                  <c:v>2.2000000000000002</c:v>
                </c:pt>
                <c:pt idx="1">
                  <c:v>2.5</c:v>
                </c:pt>
                <c:pt idx="2">
                  <c:v>1.3</c:v>
                </c:pt>
                <c:pt idx="3">
                  <c:v>1.7</c:v>
                </c:pt>
                <c:pt idx="4">
                  <c:v>2.2999999999999998</c:v>
                </c:pt>
                <c:pt idx="5">
                  <c:v>1.8</c:v>
                </c:pt>
              </c:numCache>
            </c:numRef>
          </c:val>
        </c:ser>
        <c:ser>
          <c:idx val="1"/>
          <c:order val="1"/>
          <c:tx>
            <c:strRef>
              <c:f>Sheet1!$C$1</c:f>
              <c:strCache>
                <c:ptCount val="1"/>
                <c:pt idx="0">
                  <c:v>Underweight/Gaza Strip</c:v>
                </c:pt>
              </c:strCache>
            </c:strRef>
          </c:tx>
          <c:spPr>
            <a:ln w="22225"/>
          </c:spPr>
          <c:dLbls>
            <c:dLbl>
              <c:idx val="0"/>
              <c:layout>
                <c:manualLayout>
                  <c:x val="-6.2500000000000014E-2"/>
                  <c:y val="3.9682539682539802E-3"/>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LblPos val="b"/>
              <c:showVal val="1"/>
              <c:extLst>
                <c:ext xmlns:c15="http://schemas.microsoft.com/office/drawing/2012/chart" uri="{CE6537A1-D6FC-4f65-9D91-7224C49458BB}"/>
              </c:extLst>
            </c:dLbl>
            <c:dLbl>
              <c:idx val="6"/>
              <c:layout>
                <c:manualLayout>
                  <c:x val="-2.2466765992180974E-3"/>
                  <c:y val="-1.8635727771636582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Sheet1!$A$2:$A$7</c:f>
              <c:numCache>
                <c:formatCode>General</c:formatCode>
                <c:ptCount val="6"/>
                <c:pt idx="0">
                  <c:v>2006</c:v>
                </c:pt>
                <c:pt idx="1">
                  <c:v>2007</c:v>
                </c:pt>
                <c:pt idx="2">
                  <c:v>2008</c:v>
                </c:pt>
                <c:pt idx="3">
                  <c:v>2009</c:v>
                </c:pt>
                <c:pt idx="4">
                  <c:v>2010</c:v>
                </c:pt>
                <c:pt idx="5">
                  <c:v>2011</c:v>
                </c:pt>
              </c:numCache>
            </c:numRef>
          </c:cat>
          <c:val>
            <c:numRef>
              <c:f>Sheet1!$C$2:$C$7</c:f>
              <c:numCache>
                <c:formatCode>0.0</c:formatCode>
                <c:ptCount val="6"/>
                <c:pt idx="0">
                  <c:v>2.7</c:v>
                </c:pt>
                <c:pt idx="1">
                  <c:v>2.8</c:v>
                </c:pt>
                <c:pt idx="2">
                  <c:v>3</c:v>
                </c:pt>
                <c:pt idx="3">
                  <c:v>3.9</c:v>
                </c:pt>
                <c:pt idx="4">
                  <c:v>4.0999999999999996</c:v>
                </c:pt>
                <c:pt idx="5">
                  <c:v>3.7</c:v>
                </c:pt>
              </c:numCache>
            </c:numRef>
          </c:val>
        </c:ser>
        <c:ser>
          <c:idx val="2"/>
          <c:order val="2"/>
          <c:tx>
            <c:strRef>
              <c:f>Sheet1!$D$1</c:f>
              <c:strCache>
                <c:ptCount val="1"/>
                <c:pt idx="0">
                  <c:v>Wasting/West Bank</c:v>
                </c:pt>
              </c:strCache>
            </c:strRef>
          </c:tx>
          <c:spPr>
            <a:ln w="22225"/>
          </c:spPr>
          <c:dLbls>
            <c:dLbl>
              <c:idx val="0"/>
              <c:layout>
                <c:manualLayout>
                  <c:x val="-3.0092592592592598E-2"/>
                  <c:y val="5.1587301587301577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LblPos val="b"/>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Sheet1!$A$2:$A$7</c:f>
              <c:numCache>
                <c:formatCode>General</c:formatCode>
                <c:ptCount val="6"/>
                <c:pt idx="0">
                  <c:v>2006</c:v>
                </c:pt>
                <c:pt idx="1">
                  <c:v>2007</c:v>
                </c:pt>
                <c:pt idx="2">
                  <c:v>2008</c:v>
                </c:pt>
                <c:pt idx="3">
                  <c:v>2009</c:v>
                </c:pt>
                <c:pt idx="4">
                  <c:v>2010</c:v>
                </c:pt>
                <c:pt idx="5">
                  <c:v>2011</c:v>
                </c:pt>
              </c:numCache>
            </c:numRef>
          </c:cat>
          <c:val>
            <c:numRef>
              <c:f>Sheet1!$D$2:$D$7</c:f>
              <c:numCache>
                <c:formatCode>0.0</c:formatCode>
                <c:ptCount val="6"/>
                <c:pt idx="0">
                  <c:v>2.1</c:v>
                </c:pt>
                <c:pt idx="1">
                  <c:v>2.1</c:v>
                </c:pt>
                <c:pt idx="2">
                  <c:v>2</c:v>
                </c:pt>
                <c:pt idx="3">
                  <c:v>2</c:v>
                </c:pt>
                <c:pt idx="4">
                  <c:v>1.9000000000000001</c:v>
                </c:pt>
                <c:pt idx="5">
                  <c:v>1.6</c:v>
                </c:pt>
              </c:numCache>
            </c:numRef>
          </c:val>
        </c:ser>
        <c:ser>
          <c:idx val="3"/>
          <c:order val="3"/>
          <c:tx>
            <c:strRef>
              <c:f>Sheet1!$E$1</c:f>
              <c:strCache>
                <c:ptCount val="1"/>
                <c:pt idx="0">
                  <c:v>Wasting/Gaza Strip</c:v>
                </c:pt>
              </c:strCache>
            </c:strRef>
          </c:tx>
          <c:spPr>
            <a:ln w="22225"/>
          </c:spPr>
          <c:dLbls>
            <c:dLbl>
              <c:idx val="0"/>
              <c:layout>
                <c:manualLayout>
                  <c:x val="-2.5462962962962982E-2"/>
                  <c:y val="-3.5714285714285712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layout>
                <c:manualLayout>
                  <c:x val="0"/>
                  <c:y val="5.3327635099008924E-2"/>
                </c:manualLayout>
              </c:layout>
              <c:dLblPos val="r"/>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Sheet1!$A$2:$A$7</c:f>
              <c:numCache>
                <c:formatCode>General</c:formatCode>
                <c:ptCount val="6"/>
                <c:pt idx="0">
                  <c:v>2006</c:v>
                </c:pt>
                <c:pt idx="1">
                  <c:v>2007</c:v>
                </c:pt>
                <c:pt idx="2">
                  <c:v>2008</c:v>
                </c:pt>
                <c:pt idx="3">
                  <c:v>2009</c:v>
                </c:pt>
                <c:pt idx="4">
                  <c:v>2010</c:v>
                </c:pt>
                <c:pt idx="5">
                  <c:v>2011</c:v>
                </c:pt>
              </c:numCache>
            </c:numRef>
          </c:cat>
          <c:val>
            <c:numRef>
              <c:f>Sheet1!$E$2:$E$7</c:f>
              <c:numCache>
                <c:formatCode>0.0</c:formatCode>
                <c:ptCount val="6"/>
                <c:pt idx="0">
                  <c:v>6.6</c:v>
                </c:pt>
                <c:pt idx="1">
                  <c:v>5.3</c:v>
                </c:pt>
                <c:pt idx="2">
                  <c:v>5.7</c:v>
                </c:pt>
                <c:pt idx="3">
                  <c:v>6.2</c:v>
                </c:pt>
                <c:pt idx="4">
                  <c:v>6.8</c:v>
                </c:pt>
                <c:pt idx="5">
                  <c:v>4.5999999999999996</c:v>
                </c:pt>
              </c:numCache>
            </c:numRef>
          </c:val>
        </c:ser>
        <c:ser>
          <c:idx val="4"/>
          <c:order val="4"/>
          <c:tx>
            <c:strRef>
              <c:f>Sheet1!$F$1</c:f>
              <c:strCache>
                <c:ptCount val="1"/>
                <c:pt idx="0">
                  <c:v>Stunting/ West Bank</c:v>
                </c:pt>
              </c:strCache>
            </c:strRef>
          </c:tx>
          <c:spPr>
            <a:ln w="22225"/>
          </c:spPr>
          <c:dLbls>
            <c:dLbl>
              <c:idx val="0"/>
              <c:dLblPos val="l"/>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layout>
                <c:manualLayout>
                  <c:x val="4.8668704857644076E-3"/>
                  <c:y val="-2.3094178563130511E-2"/>
                </c:manualLayout>
              </c:layout>
              <c:dLblPos val="r"/>
              <c:showVal val="1"/>
              <c:extLst>
                <c:ext xmlns:c15="http://schemas.microsoft.com/office/drawing/2012/chart" uri="{CE6537A1-D6FC-4f65-9D91-7224C49458BB}"/>
              </c:extLst>
            </c:dLbl>
            <c:spPr>
              <a:noFill/>
              <a:ln>
                <a:noFill/>
              </a:ln>
              <a:effectLst/>
            </c:spPr>
            <c:dLblPos val="r"/>
            <c:showVal val="1"/>
            <c:extLst>
              <c:ext xmlns:c15="http://schemas.microsoft.com/office/drawing/2012/chart" uri="{CE6537A1-D6FC-4f65-9D91-7224C49458BB}">
                <c15:showLeaderLines val="0"/>
              </c:ext>
            </c:extLst>
          </c:dLbls>
          <c:cat>
            <c:numRef>
              <c:f>Sheet1!$A$2:$A$7</c:f>
              <c:numCache>
                <c:formatCode>General</c:formatCode>
                <c:ptCount val="6"/>
                <c:pt idx="0">
                  <c:v>2006</c:v>
                </c:pt>
                <c:pt idx="1">
                  <c:v>2007</c:v>
                </c:pt>
                <c:pt idx="2">
                  <c:v>2008</c:v>
                </c:pt>
                <c:pt idx="3">
                  <c:v>2009</c:v>
                </c:pt>
                <c:pt idx="4">
                  <c:v>2010</c:v>
                </c:pt>
                <c:pt idx="5">
                  <c:v>2011</c:v>
                </c:pt>
              </c:numCache>
            </c:numRef>
          </c:cat>
          <c:val>
            <c:numRef>
              <c:f>Sheet1!$F$2:$F$7</c:f>
              <c:numCache>
                <c:formatCode>0.0</c:formatCode>
                <c:ptCount val="6"/>
                <c:pt idx="0">
                  <c:v>6.4</c:v>
                </c:pt>
                <c:pt idx="1">
                  <c:v>6.1</c:v>
                </c:pt>
                <c:pt idx="2">
                  <c:v>4.5999999999999996</c:v>
                </c:pt>
                <c:pt idx="3">
                  <c:v>4.7</c:v>
                </c:pt>
                <c:pt idx="4">
                  <c:v>5</c:v>
                </c:pt>
                <c:pt idx="5">
                  <c:v>4.8</c:v>
                </c:pt>
              </c:numCache>
            </c:numRef>
          </c:val>
        </c:ser>
        <c:ser>
          <c:idx val="5"/>
          <c:order val="5"/>
          <c:tx>
            <c:strRef>
              <c:f>Sheet1!$G$1</c:f>
              <c:strCache>
                <c:ptCount val="1"/>
                <c:pt idx="0">
                  <c:v>Stunting/Gaza Strip</c:v>
                </c:pt>
              </c:strCache>
            </c:strRef>
          </c:tx>
          <c:spPr>
            <a:ln w="22225"/>
          </c:spPr>
          <c:dLbls>
            <c:dLbl>
              <c:idx val="0"/>
              <c:layout>
                <c:manualLayout>
                  <c:x val="-5.1062182701156283E-2"/>
                  <c:y val="5.7112880662864525E-2"/>
                </c:manualLayout>
              </c:layout>
              <c:tx>
                <c:rich>
                  <a:bodyPr/>
                  <a:lstStyle/>
                  <a:p>
                    <a:r>
                      <a:rPr lang="ar-SA" sz="900"/>
                      <a:t>6.0</a:t>
                    </a:r>
                  </a:p>
                </c:rich>
              </c:tx>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layout>
                <c:manualLayout>
                  <c:x val="-2.6944856396645237E-2"/>
                  <c:y val="-6.5178220676565798E-2"/>
                </c:manualLayout>
              </c:layout>
              <c:dLblPos val="r"/>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Sheet1!$A$2:$A$7</c:f>
              <c:numCache>
                <c:formatCode>General</c:formatCode>
                <c:ptCount val="6"/>
                <c:pt idx="0">
                  <c:v>2006</c:v>
                </c:pt>
                <c:pt idx="1">
                  <c:v>2007</c:v>
                </c:pt>
                <c:pt idx="2">
                  <c:v>2008</c:v>
                </c:pt>
                <c:pt idx="3">
                  <c:v>2009</c:v>
                </c:pt>
                <c:pt idx="4">
                  <c:v>2010</c:v>
                </c:pt>
                <c:pt idx="5">
                  <c:v>2011</c:v>
                </c:pt>
              </c:numCache>
            </c:numRef>
          </c:cat>
          <c:val>
            <c:numRef>
              <c:f>Sheet1!$G$2:$G$7</c:f>
              <c:numCache>
                <c:formatCode>0.0</c:formatCode>
                <c:ptCount val="6"/>
                <c:pt idx="0">
                  <c:v>6</c:v>
                </c:pt>
                <c:pt idx="1">
                  <c:v>6.3</c:v>
                </c:pt>
                <c:pt idx="2">
                  <c:v>5.5</c:v>
                </c:pt>
                <c:pt idx="3">
                  <c:v>5.9</c:v>
                </c:pt>
                <c:pt idx="4">
                  <c:v>5.0999999999999996</c:v>
                </c:pt>
                <c:pt idx="5">
                  <c:v>5.0999999999999996</c:v>
                </c:pt>
              </c:numCache>
            </c:numRef>
          </c:val>
        </c:ser>
        <c:marker val="1"/>
        <c:axId val="206964608"/>
        <c:axId val="206966144"/>
      </c:lineChart>
      <c:catAx>
        <c:axId val="206964608"/>
        <c:scaling>
          <c:orientation val="minMax"/>
        </c:scaling>
        <c:axPos val="b"/>
        <c:numFmt formatCode="General" sourceLinked="1"/>
        <c:tickLblPos val="nextTo"/>
        <c:crossAx val="206966144"/>
        <c:crosses val="autoZero"/>
        <c:auto val="1"/>
        <c:lblAlgn val="ctr"/>
        <c:lblOffset val="100"/>
      </c:catAx>
      <c:valAx>
        <c:axId val="206966144"/>
        <c:scaling>
          <c:orientation val="minMax"/>
          <c:max val="9"/>
        </c:scaling>
        <c:axPos val="l"/>
        <c:majorGridlines/>
        <c:numFmt formatCode="0" sourceLinked="0"/>
        <c:tickLblPos val="nextTo"/>
        <c:crossAx val="206964608"/>
        <c:crosses val="autoZero"/>
        <c:crossBetween val="between"/>
        <c:minorUnit val="0.2"/>
      </c:valAx>
    </c:plotArea>
    <c:legend>
      <c:legendPos val="r"/>
      <c:layout>
        <c:manualLayout>
          <c:xMode val="edge"/>
          <c:yMode val="edge"/>
          <c:x val="0.76488425925925962"/>
          <c:y val="0.10615579302587176"/>
          <c:w val="0.22122685185185184"/>
          <c:h val="0.77336495430046703"/>
        </c:manualLayout>
      </c:layout>
      <c:spPr>
        <a:ln>
          <a:solidFill>
            <a:srgbClr val="4F81BD"/>
          </a:solidFill>
        </a:ln>
      </c:spPr>
    </c:legend>
    <c:plotVisOnly val="1"/>
    <c:dispBlanksAs val="gap"/>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2.6862026862026871E-2"/>
          <c:y val="0.15682543792524217"/>
          <c:w val="0.94627594627594624"/>
          <c:h val="0.71607648577855554"/>
        </c:manualLayout>
      </c:layout>
      <c:barChart>
        <c:barDir val="col"/>
        <c:grouping val="stacked"/>
        <c:ser>
          <c:idx val="1"/>
          <c:order val="0"/>
          <c:tx>
            <c:strRef>
              <c:f>Sheet1!$A$2</c:f>
              <c:strCache>
                <c:ptCount val="1"/>
                <c:pt idx="0">
                  <c:v>Area "C"</c:v>
                </c:pt>
              </c:strCache>
            </c:strRef>
          </c:tx>
          <c:dLbls>
            <c:spPr>
              <a:noFill/>
              <a:ln>
                <a:noFill/>
              </a:ln>
              <a:effectLst/>
            </c:spPr>
            <c:showVal val="1"/>
            <c:extLst>
              <c:ext xmlns:c15="http://schemas.microsoft.com/office/drawing/2012/chart" uri="{CE6537A1-D6FC-4f65-9D91-7224C49458BB}">
                <c15:showLeaderLines val="0"/>
              </c:ext>
            </c:extLst>
          </c:dLbls>
          <c:cat>
            <c:numRef>
              <c:f>Sheet1!$B$1:$G$1</c:f>
              <c:numCache>
                <c:formatCode>General</c:formatCode>
                <c:ptCount val="6"/>
                <c:pt idx="0">
                  <c:v>2009</c:v>
                </c:pt>
                <c:pt idx="1">
                  <c:v>2010</c:v>
                </c:pt>
                <c:pt idx="2">
                  <c:v>2011</c:v>
                </c:pt>
                <c:pt idx="3">
                  <c:v>2012</c:v>
                </c:pt>
                <c:pt idx="4">
                  <c:v>2013</c:v>
                </c:pt>
                <c:pt idx="5">
                  <c:v>2014</c:v>
                </c:pt>
              </c:numCache>
            </c:numRef>
          </c:cat>
          <c:val>
            <c:numRef>
              <c:f>Sheet1!$B$2:$G$2</c:f>
              <c:numCache>
                <c:formatCode>0</c:formatCode>
                <c:ptCount val="6"/>
                <c:pt idx="0">
                  <c:v>167</c:v>
                </c:pt>
                <c:pt idx="1">
                  <c:v>230</c:v>
                </c:pt>
                <c:pt idx="2">
                  <c:v>565</c:v>
                </c:pt>
                <c:pt idx="3">
                  <c:v>447</c:v>
                </c:pt>
                <c:pt idx="4">
                  <c:v>405</c:v>
                </c:pt>
                <c:pt idx="5">
                  <c:v>540</c:v>
                </c:pt>
              </c:numCache>
            </c:numRef>
          </c:val>
        </c:ser>
        <c:ser>
          <c:idx val="2"/>
          <c:order val="1"/>
          <c:tx>
            <c:strRef>
              <c:f>Sheet1!$A$3</c:f>
              <c:strCache>
                <c:ptCount val="1"/>
                <c:pt idx="0">
                  <c:v>East Jerusalem</c:v>
                </c:pt>
              </c:strCache>
            </c:strRef>
          </c:tx>
          <c:dLbls>
            <c:spPr>
              <a:noFill/>
              <a:ln>
                <a:noFill/>
              </a:ln>
              <a:effectLst/>
            </c:spPr>
            <c:showVal val="1"/>
            <c:extLst>
              <c:ext xmlns:c15="http://schemas.microsoft.com/office/drawing/2012/chart" uri="{CE6537A1-D6FC-4f65-9D91-7224C49458BB}">
                <c15:showLeaderLines val="0"/>
              </c:ext>
            </c:extLst>
          </c:dLbls>
          <c:cat>
            <c:numRef>
              <c:f>Sheet1!$B$1:$G$1</c:f>
              <c:numCache>
                <c:formatCode>General</c:formatCode>
                <c:ptCount val="6"/>
                <c:pt idx="0">
                  <c:v>2009</c:v>
                </c:pt>
                <c:pt idx="1">
                  <c:v>2010</c:v>
                </c:pt>
                <c:pt idx="2">
                  <c:v>2011</c:v>
                </c:pt>
                <c:pt idx="3">
                  <c:v>2012</c:v>
                </c:pt>
                <c:pt idx="4">
                  <c:v>2013</c:v>
                </c:pt>
                <c:pt idx="5">
                  <c:v>2014</c:v>
                </c:pt>
              </c:numCache>
            </c:numRef>
          </c:cat>
          <c:val>
            <c:numRef>
              <c:f>Sheet1!$B$3:$G$3</c:f>
              <c:numCache>
                <c:formatCode>0</c:formatCode>
                <c:ptCount val="6"/>
                <c:pt idx="0">
                  <c:v>165</c:v>
                </c:pt>
                <c:pt idx="1">
                  <c:v>69</c:v>
                </c:pt>
                <c:pt idx="2">
                  <c:v>53</c:v>
                </c:pt>
                <c:pt idx="3">
                  <c:v>27</c:v>
                </c:pt>
                <c:pt idx="4">
                  <c:v>153</c:v>
                </c:pt>
                <c:pt idx="5">
                  <c:v>111</c:v>
                </c:pt>
              </c:numCache>
            </c:numRef>
          </c:val>
        </c:ser>
        <c:dLbls>
          <c:showVal val="1"/>
        </c:dLbls>
        <c:gapWidth val="95"/>
        <c:overlap val="100"/>
        <c:axId val="207099392"/>
        <c:axId val="207100928"/>
      </c:barChart>
      <c:catAx>
        <c:axId val="207099392"/>
        <c:scaling>
          <c:orientation val="minMax"/>
        </c:scaling>
        <c:axPos val="b"/>
        <c:numFmt formatCode="General" sourceLinked="1"/>
        <c:maj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207100928"/>
        <c:crosses val="autoZero"/>
        <c:auto val="1"/>
        <c:lblAlgn val="ctr"/>
        <c:lblOffset val="100"/>
        <c:tickLblSkip val="1"/>
        <c:tickMarkSkip val="1"/>
      </c:catAx>
      <c:valAx>
        <c:axId val="207100928"/>
        <c:scaling>
          <c:orientation val="minMax"/>
        </c:scaling>
        <c:delete val="1"/>
        <c:axPos val="l"/>
        <c:numFmt formatCode="0" sourceLinked="0"/>
        <c:tickLblPos val="none"/>
        <c:crossAx val="207099392"/>
        <c:crosses val="autoZero"/>
        <c:crossBetween val="between"/>
      </c:valAx>
      <c:spPr>
        <a:solidFill>
          <a:srgbClr val="FFFFFF"/>
        </a:solidFill>
        <a:ln w="12700">
          <a:solidFill>
            <a:srgbClr val="FFFFFF"/>
          </a:solidFill>
          <a:prstDash val="solid"/>
        </a:ln>
        <a:effectLst/>
      </c:spPr>
    </c:plotArea>
    <c:legend>
      <c:legendPos val="t"/>
      <c:spPr>
        <a:noFill/>
        <a:ln w="12700">
          <a:solidFill>
            <a:srgbClr val="4F81BD"/>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dist="50800"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8.3456690310138026E-2"/>
          <c:y val="4.8103668795189555E-2"/>
          <c:w val="0.77911094035743333"/>
          <c:h val="0.83322296919131456"/>
        </c:manualLayout>
      </c:layout>
      <c:lineChart>
        <c:grouping val="standard"/>
        <c:ser>
          <c:idx val="0"/>
          <c:order val="0"/>
          <c:tx>
            <c:strRef>
              <c:f>Sheet1!$B$1</c:f>
              <c:strCache>
                <c:ptCount val="1"/>
                <c:pt idx="0">
                  <c:v>Injured</c:v>
                </c:pt>
              </c:strCache>
            </c:strRef>
          </c:tx>
          <c:dLbls>
            <c:dLbl>
              <c:idx val="2"/>
              <c:tx>
                <c:rich>
                  <a:bodyPr/>
                  <a:lstStyle/>
                  <a:p>
                    <a:r>
                      <a:rPr lang="en-US"/>
                      <a:t>664</a:t>
                    </a:r>
                  </a:p>
                </c:rich>
              </c:tx>
              <c:dLblPos val="t"/>
              <c:showVal val="1"/>
              <c:extLst>
                <c:ext xmlns:c15="http://schemas.microsoft.com/office/drawing/2012/chart" uri="{CE6537A1-D6FC-4f65-9D91-7224C49458BB}"/>
              </c:extLst>
            </c:dLbl>
            <c:dLbl>
              <c:idx val="3"/>
              <c:layout>
                <c:manualLayout>
                  <c:x val="-6.0606243469652057E-2"/>
                  <c:y val="-9.2275764924575329E-2"/>
                </c:manualLayout>
              </c:layout>
              <c:tx>
                <c:rich>
                  <a:bodyPr/>
                  <a:lstStyle/>
                  <a:p>
                    <a:r>
                      <a:rPr lang="en-US"/>
                      <a:t>1,265</a:t>
                    </a:r>
                  </a:p>
                </c:rich>
              </c:tx>
              <c:dLblPos val="r"/>
              <c:showVal val="1"/>
              <c:extLst>
                <c:ext xmlns:c15="http://schemas.microsoft.com/office/drawing/2012/chart" uri="{CE6537A1-D6FC-4f65-9D91-7224C49458BB}"/>
              </c:extLst>
            </c:dLbl>
            <c:dLbl>
              <c:idx val="4"/>
              <c:layout>
                <c:manualLayout>
                  <c:x val="-8.9340975696844044E-2"/>
                  <c:y val="9.879082117430096E-3"/>
                </c:manualLayout>
              </c:layout>
              <c:tx>
                <c:rich>
                  <a:bodyPr/>
                  <a:lstStyle/>
                  <a:p>
                    <a:r>
                      <a:rPr lang="en-US"/>
                      <a:t>4,247</a:t>
                    </a:r>
                  </a:p>
                </c:rich>
              </c:tx>
              <c:dLblPos val="r"/>
              <c:showVal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numRef>
              <c:f>Sheet1!$A$2:$A$6</c:f>
              <c:numCache>
                <c:formatCode>General</c:formatCode>
                <c:ptCount val="5"/>
                <c:pt idx="0">
                  <c:v>2010</c:v>
                </c:pt>
                <c:pt idx="1">
                  <c:v>2011</c:v>
                </c:pt>
                <c:pt idx="2">
                  <c:v>2012</c:v>
                </c:pt>
                <c:pt idx="3">
                  <c:v>2013</c:v>
                </c:pt>
                <c:pt idx="4">
                  <c:v>2014</c:v>
                </c:pt>
              </c:numCache>
            </c:numRef>
          </c:cat>
          <c:val>
            <c:numRef>
              <c:f>Sheet1!$B$2:$B$6</c:f>
              <c:numCache>
                <c:formatCode>General</c:formatCode>
                <c:ptCount val="5"/>
                <c:pt idx="0">
                  <c:v>360</c:v>
                </c:pt>
                <c:pt idx="1">
                  <c:v>449</c:v>
                </c:pt>
                <c:pt idx="2">
                  <c:v>665</c:v>
                </c:pt>
                <c:pt idx="3">
                  <c:v>1265</c:v>
                </c:pt>
                <c:pt idx="4">
                  <c:v>4247</c:v>
                </c:pt>
              </c:numCache>
            </c:numRef>
          </c:val>
        </c:ser>
        <c:ser>
          <c:idx val="1"/>
          <c:order val="1"/>
          <c:tx>
            <c:strRef>
              <c:f>Sheet1!$C$1</c:f>
              <c:strCache>
                <c:ptCount val="1"/>
                <c:pt idx="0">
                  <c:v>Martyrs</c:v>
                </c:pt>
              </c:strCache>
            </c:strRef>
          </c:tx>
          <c:dLbls>
            <c:dLbl>
              <c:idx val="1"/>
              <c:layout>
                <c:manualLayout>
                  <c:x val="-2.5696314572019353E-3"/>
                  <c:y val="-3.2716056061409322E-2"/>
                </c:manualLayout>
              </c:layout>
              <c:dLblPos val="r"/>
              <c:showVal val="1"/>
              <c:extLst>
                <c:ext xmlns:c15="http://schemas.microsoft.com/office/drawing/2012/chart" uri="{CE6537A1-D6FC-4f65-9D91-7224C49458BB}"/>
              </c:extLst>
            </c:dLbl>
            <c:dLbl>
              <c:idx val="2"/>
              <c:layout>
                <c:manualLayout>
                  <c:x val="-4.8236941389578174E-3"/>
                  <c:y val="-5.2345689698254885E-2"/>
                </c:manualLayout>
              </c:layout>
              <c:dLblPos val="r"/>
              <c:showVal val="1"/>
              <c:extLst>
                <c:ext xmlns:c15="http://schemas.microsoft.com/office/drawing/2012/chart" uri="{CE6537A1-D6FC-4f65-9D91-7224C49458BB}"/>
              </c:extLst>
            </c:dLbl>
            <c:dLbl>
              <c:idx val="3"/>
              <c:layout>
                <c:manualLayout>
                  <c:x val="-2.7206536568795056E-2"/>
                  <c:y val="-8.5061745759664728E-2"/>
                </c:manualLayout>
              </c:layout>
              <c:dLblPos val="r"/>
              <c:showVal val="1"/>
              <c:extLst>
                <c:ext xmlns:c15="http://schemas.microsoft.com/office/drawing/2012/chart" uri="{CE6537A1-D6FC-4f65-9D91-7224C49458BB}"/>
              </c:extLst>
            </c:dLbl>
            <c:dLbl>
              <c:idx val="4"/>
              <c:layout>
                <c:manualLayout>
                  <c:x val="-2.3013979980728651E-2"/>
                  <c:y val="-0.10469137939651134"/>
                </c:manualLayout>
              </c:layout>
              <c:dLblPos val="r"/>
              <c:showVal val="1"/>
              <c:extLst>
                <c:ext xmlns:c15="http://schemas.microsoft.com/office/drawing/2012/chart" uri="{CE6537A1-D6FC-4f65-9D91-7224C49458BB}"/>
              </c:extLst>
            </c:dLbl>
            <c:spPr>
              <a:noFill/>
              <a:ln>
                <a:noFill/>
              </a:ln>
              <a:effectLst/>
            </c:spPr>
            <c:dLblPos val="l"/>
            <c:showVal val="1"/>
            <c:extLst>
              <c:ext xmlns:c15="http://schemas.microsoft.com/office/drawing/2012/chart" uri="{CE6537A1-D6FC-4f65-9D91-7224C49458BB}">
                <c15:showLeaderLines val="0"/>
              </c:ext>
            </c:extLst>
          </c:dLbls>
          <c:cat>
            <c:numRef>
              <c:f>Sheet1!$A$2:$A$6</c:f>
              <c:numCache>
                <c:formatCode>General</c:formatCode>
                <c:ptCount val="5"/>
                <c:pt idx="0">
                  <c:v>2010</c:v>
                </c:pt>
                <c:pt idx="1">
                  <c:v>2011</c:v>
                </c:pt>
                <c:pt idx="2">
                  <c:v>2012</c:v>
                </c:pt>
                <c:pt idx="3">
                  <c:v>2013</c:v>
                </c:pt>
                <c:pt idx="4">
                  <c:v>2014</c:v>
                </c:pt>
              </c:numCache>
            </c:numRef>
          </c:cat>
          <c:val>
            <c:numRef>
              <c:f>Sheet1!$C$2:$C$6</c:f>
              <c:numCache>
                <c:formatCode>General</c:formatCode>
                <c:ptCount val="5"/>
                <c:pt idx="0">
                  <c:v>11</c:v>
                </c:pt>
                <c:pt idx="1">
                  <c:v>20</c:v>
                </c:pt>
                <c:pt idx="2">
                  <c:v>50</c:v>
                </c:pt>
                <c:pt idx="3">
                  <c:v>8</c:v>
                </c:pt>
                <c:pt idx="4">
                  <c:v>557</c:v>
                </c:pt>
              </c:numCache>
            </c:numRef>
          </c:val>
        </c:ser>
        <c:marker val="1"/>
        <c:axId val="158624384"/>
        <c:axId val="158630272"/>
      </c:lineChart>
      <c:catAx>
        <c:axId val="158624384"/>
        <c:scaling>
          <c:orientation val="minMax"/>
        </c:scaling>
        <c:axPos val="b"/>
        <c:numFmt formatCode="General" sourceLinked="1"/>
        <c:tickLblPos val="nextTo"/>
        <c:crossAx val="158630272"/>
        <c:crosses val="autoZero"/>
        <c:auto val="1"/>
        <c:lblAlgn val="ctr"/>
        <c:lblOffset val="100"/>
      </c:catAx>
      <c:valAx>
        <c:axId val="158630272"/>
        <c:scaling>
          <c:orientation val="minMax"/>
          <c:max val="4600"/>
          <c:min val="0"/>
        </c:scaling>
        <c:axPos val="l"/>
        <c:majorGridlines/>
        <c:numFmt formatCode="General" sourceLinked="1"/>
        <c:tickLblPos val="nextTo"/>
        <c:crossAx val="158624384"/>
        <c:crosses val="autoZero"/>
        <c:crossBetween val="between"/>
        <c:majorUnit val="400"/>
        <c:minorUnit val="100"/>
      </c:valAx>
    </c:plotArea>
    <c:legend>
      <c:legendPos val="r"/>
      <c:layout>
        <c:manualLayout>
          <c:xMode val="edge"/>
          <c:yMode val="edge"/>
          <c:x val="0.85594331986680205"/>
          <c:y val="9.8189040268589226E-2"/>
          <c:w val="0.13015875833374477"/>
          <c:h val="0.50580340869263229"/>
        </c:manualLayout>
      </c:layout>
      <c:spPr>
        <a:ln>
          <a:solidFill>
            <a:srgbClr val="4F81BD"/>
          </a:solidFill>
        </a:ln>
      </c:spPr>
    </c:legend>
    <c:plotVisOnly val="1"/>
    <c:dispBlanksAs val="gap"/>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7.0385092015404702E-2"/>
          <c:y val="0.20643316137207293"/>
          <c:w val="0.91721437062797651"/>
          <c:h val="0.59291077121106006"/>
        </c:manualLayout>
      </c:layout>
      <c:lineChart>
        <c:grouping val="standard"/>
        <c:ser>
          <c:idx val="0"/>
          <c:order val="0"/>
          <c:tx>
            <c:strRef>
              <c:f>Sheet1!$B$1</c:f>
              <c:strCache>
                <c:ptCount val="1"/>
                <c:pt idx="0">
                  <c:v>Number of children detained</c:v>
                </c:pt>
              </c:strCache>
            </c:strRef>
          </c:tx>
          <c:dLbls>
            <c:dLbl>
              <c:idx val="0"/>
              <c:layout>
                <c:manualLayout>
                  <c:x val="-3.7037037037037056E-2"/>
                  <c:y val="-5.7727272727272724E-2"/>
                </c:manualLayout>
              </c:layout>
              <c:tx>
                <c:rich>
                  <a:bodyPr/>
                  <a:lstStyle/>
                  <a:p>
                    <a:r>
                      <a:rPr lang="en-US"/>
                      <a:t>3,833</a:t>
                    </a:r>
                  </a:p>
                </c:rich>
              </c:tx>
              <c:showVal val="1"/>
              <c:extLst>
                <c:ext xmlns:c15="http://schemas.microsoft.com/office/drawing/2012/chart" uri="{CE6537A1-D6FC-4f65-9D91-7224C49458BB}"/>
              </c:extLst>
            </c:dLbl>
            <c:dLbl>
              <c:idx val="1"/>
              <c:layout>
                <c:manualLayout>
                  <c:x val="0"/>
                  <c:y val="-3.9024390243902439E-2"/>
                </c:manualLayout>
              </c:layout>
              <c:tx>
                <c:rich>
                  <a:bodyPr/>
                  <a:lstStyle/>
                  <a:p>
                    <a:r>
                      <a:rPr lang="en-US"/>
                      <a:t>4,267</a:t>
                    </a:r>
                  </a:p>
                </c:rich>
              </c:tx>
              <c:showVal val="1"/>
              <c:extLst>
                <c:ext xmlns:c15="http://schemas.microsoft.com/office/drawing/2012/chart" uri="{CE6537A1-D6FC-4f65-9D91-7224C49458BB}"/>
              </c:extLst>
            </c:dLbl>
            <c:dLbl>
              <c:idx val="2"/>
              <c:tx>
                <c:rich>
                  <a:bodyPr/>
                  <a:lstStyle/>
                  <a:p>
                    <a:r>
                      <a:rPr lang="en-US"/>
                      <a:t>3,490</a:t>
                    </a:r>
                  </a:p>
                </c:rich>
              </c:tx>
              <c:showVal val="1"/>
              <c:extLst>
                <c:ext xmlns:c15="http://schemas.microsoft.com/office/drawing/2012/chart" uri="{CE6537A1-D6FC-4f65-9D91-7224C49458BB}"/>
              </c:extLst>
            </c:dLbl>
            <c:dLbl>
              <c:idx val="3"/>
              <c:layout>
                <c:manualLayout>
                  <c:x val="-2.0833333333333412E-2"/>
                  <c:y val="-9.6212121212120819E-2"/>
                </c:manualLayout>
              </c:layout>
              <c:tx>
                <c:rich>
                  <a:bodyPr/>
                  <a:lstStyle/>
                  <a:p>
                    <a:r>
                      <a:rPr lang="en-US"/>
                      <a:t>2,301</a:t>
                    </a:r>
                  </a:p>
                </c:rich>
              </c:tx>
              <c:showVal val="1"/>
              <c:extLst>
                <c:ext xmlns:c15="http://schemas.microsoft.com/office/drawing/2012/chart" uri="{CE6537A1-D6FC-4f65-9D91-7224C49458BB}"/>
              </c:extLst>
            </c:dLbl>
            <c:dLbl>
              <c:idx val="4"/>
              <c:layout>
                <c:manualLayout>
                  <c:x val="-1.3888888888889341E-2"/>
                  <c:y val="-5.1313131313132934E-2"/>
                </c:manualLayout>
              </c:layout>
              <c:tx>
                <c:rich>
                  <a:bodyPr/>
                  <a:lstStyle/>
                  <a:p>
                    <a:r>
                      <a:rPr lang="en-US"/>
                      <a:t>2,370</a:t>
                    </a:r>
                  </a:p>
                </c:rich>
              </c:tx>
              <c:showVal val="1"/>
              <c:extLst>
                <c:ext xmlns:c15="http://schemas.microsoft.com/office/drawing/2012/chart" uri="{CE6537A1-D6FC-4f65-9D91-7224C49458BB}"/>
              </c:extLst>
            </c:dLbl>
            <c:dLbl>
              <c:idx val="5"/>
              <c:layout>
                <c:manualLayout>
                  <c:x val="-1.3888888888889341E-2"/>
                  <c:y val="-5.1313131313132934E-2"/>
                </c:manualLayout>
              </c:layout>
              <c:tx>
                <c:rich>
                  <a:bodyPr/>
                  <a:lstStyle/>
                  <a:p>
                    <a:r>
                      <a:rPr lang="en-US"/>
                      <a:t>2,390</a:t>
                    </a:r>
                  </a:p>
                </c:rich>
              </c:tx>
              <c:showVal val="1"/>
              <c:extLst>
                <c:ext xmlns:c15="http://schemas.microsoft.com/office/drawing/2012/chart" uri="{CE6537A1-D6FC-4f65-9D91-7224C49458BB}"/>
              </c:extLst>
            </c:dLbl>
            <c:dLbl>
              <c:idx val="6"/>
              <c:layout>
                <c:manualLayout>
                  <c:x val="0"/>
                  <c:y val="-3.8956656884898924E-2"/>
                </c:manualLayout>
              </c:layout>
              <c:tx>
                <c:rich>
                  <a:bodyPr/>
                  <a:lstStyle/>
                  <a:p>
                    <a:r>
                      <a:rPr lang="en-US"/>
                      <a:t>2,253</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Sheet1!$A$2:$A$8</c:f>
              <c:numCache>
                <c:formatCode>General</c:formatCode>
                <c:ptCount val="7"/>
                <c:pt idx="0">
                  <c:v>2008</c:v>
                </c:pt>
                <c:pt idx="1">
                  <c:v>2009</c:v>
                </c:pt>
                <c:pt idx="2">
                  <c:v>2010</c:v>
                </c:pt>
                <c:pt idx="3">
                  <c:v>2011</c:v>
                </c:pt>
                <c:pt idx="4">
                  <c:v>2012</c:v>
                </c:pt>
                <c:pt idx="5">
                  <c:v>2013</c:v>
                </c:pt>
                <c:pt idx="6">
                  <c:v>2014</c:v>
                </c:pt>
              </c:numCache>
            </c:numRef>
          </c:cat>
          <c:val>
            <c:numRef>
              <c:f>Sheet1!$B$2:$B$8</c:f>
              <c:numCache>
                <c:formatCode>General</c:formatCode>
                <c:ptCount val="7"/>
                <c:pt idx="0">
                  <c:v>3833</c:v>
                </c:pt>
                <c:pt idx="1">
                  <c:v>4267</c:v>
                </c:pt>
                <c:pt idx="2">
                  <c:v>3490</c:v>
                </c:pt>
                <c:pt idx="3">
                  <c:v>2301</c:v>
                </c:pt>
                <c:pt idx="4">
                  <c:v>2370</c:v>
                </c:pt>
                <c:pt idx="5">
                  <c:v>2390</c:v>
                </c:pt>
                <c:pt idx="6">
                  <c:v>2253</c:v>
                </c:pt>
              </c:numCache>
            </c:numRef>
          </c:val>
        </c:ser>
        <c:ser>
          <c:idx val="1"/>
          <c:order val="1"/>
          <c:tx>
            <c:strRef>
              <c:f>Sheet1!$C$1</c:f>
              <c:strCache>
                <c:ptCount val="1"/>
                <c:pt idx="0">
                  <c:v>Number of children aged 12-15 years who were detained</c:v>
                </c:pt>
              </c:strCache>
            </c:strRef>
          </c:tx>
          <c:dLbls>
            <c:dLbl>
              <c:idx val="0"/>
              <c:layout>
                <c:manualLayout>
                  <c:x val="0"/>
                  <c:y val="-6.4141414141414138E-2"/>
                </c:manualLayout>
              </c:layout>
              <c:showVal val="1"/>
              <c:extLst>
                <c:ext xmlns:c15="http://schemas.microsoft.com/office/drawing/2012/chart" uri="{CE6537A1-D6FC-4f65-9D91-7224C49458BB}"/>
              </c:extLst>
            </c:dLbl>
            <c:dLbl>
              <c:idx val="1"/>
              <c:layout>
                <c:manualLayout>
                  <c:x val="-2.0833333333333412E-2"/>
                  <c:y val="-9.6212121212120819E-2"/>
                </c:manualLayout>
              </c:layout>
              <c:showVal val="1"/>
              <c:extLst>
                <c:ext xmlns:c15="http://schemas.microsoft.com/office/drawing/2012/chart" uri="{CE6537A1-D6FC-4f65-9D91-7224C49458BB}"/>
              </c:extLst>
            </c:dLbl>
            <c:dLbl>
              <c:idx val="2"/>
              <c:layout>
                <c:manualLayout>
                  <c:x val="-2.0833333333333412E-2"/>
                  <c:y val="-8.3383838383838504E-2"/>
                </c:manualLayout>
              </c:layout>
              <c:showVal val="1"/>
              <c:extLst>
                <c:ext xmlns:c15="http://schemas.microsoft.com/office/drawing/2012/chart" uri="{CE6537A1-D6FC-4f65-9D91-7224C49458BB}"/>
              </c:extLst>
            </c:dLbl>
            <c:dLbl>
              <c:idx val="3"/>
              <c:layout>
                <c:manualLayout>
                  <c:x val="-3.2407407407408592E-2"/>
                  <c:y val="-7.6969696969696993E-2"/>
                </c:manualLayout>
              </c:layout>
              <c:showVal val="1"/>
              <c:extLst>
                <c:ext xmlns:c15="http://schemas.microsoft.com/office/drawing/2012/chart" uri="{CE6537A1-D6FC-4f65-9D91-7224C49458BB}"/>
              </c:extLst>
            </c:dLbl>
            <c:dLbl>
              <c:idx val="4"/>
              <c:layout>
                <c:manualLayout>
                  <c:x val="-3.4722222222222224E-2"/>
                  <c:y val="-7.0555555555555496E-2"/>
                </c:manualLayout>
              </c:layout>
              <c:showVal val="1"/>
              <c:extLst>
                <c:ext xmlns:c15="http://schemas.microsoft.com/office/drawing/2012/chart" uri="{CE6537A1-D6FC-4f65-9D91-7224C49458BB}"/>
              </c:extLst>
            </c:dLbl>
            <c:dLbl>
              <c:idx val="5"/>
              <c:layout>
                <c:manualLayout>
                  <c:x val="-6.6996797342074995E-3"/>
                  <c:y val="-3.8956656884898924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Sheet1!$A$2:$A$8</c:f>
              <c:numCache>
                <c:formatCode>General</c:formatCode>
                <c:ptCount val="7"/>
                <c:pt idx="0">
                  <c:v>2008</c:v>
                </c:pt>
                <c:pt idx="1">
                  <c:v>2009</c:v>
                </c:pt>
                <c:pt idx="2">
                  <c:v>2010</c:v>
                </c:pt>
                <c:pt idx="3">
                  <c:v>2011</c:v>
                </c:pt>
                <c:pt idx="4">
                  <c:v>2012</c:v>
                </c:pt>
                <c:pt idx="5">
                  <c:v>2013</c:v>
                </c:pt>
                <c:pt idx="6">
                  <c:v>2014</c:v>
                </c:pt>
              </c:numCache>
            </c:numRef>
          </c:cat>
          <c:val>
            <c:numRef>
              <c:f>Sheet1!$C$2:$C$8</c:f>
              <c:numCache>
                <c:formatCode>General</c:formatCode>
                <c:ptCount val="7"/>
                <c:pt idx="0">
                  <c:v>388</c:v>
                </c:pt>
                <c:pt idx="1">
                  <c:v>538</c:v>
                </c:pt>
                <c:pt idx="2">
                  <c:v>370</c:v>
                </c:pt>
                <c:pt idx="3">
                  <c:v>428</c:v>
                </c:pt>
                <c:pt idx="4">
                  <c:v>345</c:v>
                </c:pt>
                <c:pt idx="5">
                  <c:v>379</c:v>
                </c:pt>
                <c:pt idx="6">
                  <c:v>273</c:v>
                </c:pt>
              </c:numCache>
            </c:numRef>
          </c:val>
        </c:ser>
        <c:ser>
          <c:idx val="2"/>
          <c:order val="2"/>
          <c:tx>
            <c:strRef>
              <c:f>Sheet1!$D$1</c:f>
              <c:strCache>
                <c:ptCount val="1"/>
                <c:pt idx="0">
                  <c:v>No of children aged 16-17 who were detained</c:v>
                </c:pt>
              </c:strCache>
            </c:strRef>
          </c:tx>
          <c:dLbls>
            <c:dLbl>
              <c:idx val="0"/>
              <c:layout>
                <c:manualLayout>
                  <c:x val="-1.3888888888889329E-2"/>
                  <c:y val="6.4141414141414138E-2"/>
                </c:manualLayout>
              </c:layout>
              <c:tx>
                <c:rich>
                  <a:bodyPr/>
                  <a:lstStyle/>
                  <a:p>
                    <a:r>
                      <a:rPr lang="en-US"/>
                      <a:t>3,445</a:t>
                    </a:r>
                  </a:p>
                </c:rich>
              </c:tx>
              <c:showVal val="1"/>
              <c:extLst>
                <c:ext xmlns:c15="http://schemas.microsoft.com/office/drawing/2012/chart" uri="{CE6537A1-D6FC-4f65-9D91-7224C49458BB}"/>
              </c:extLst>
            </c:dLbl>
            <c:dLbl>
              <c:idx val="1"/>
              <c:layout>
                <c:manualLayout>
                  <c:x val="-3.4722222222222224E-2"/>
                  <c:y val="8.3383838383838504E-2"/>
                </c:manualLayout>
              </c:layout>
              <c:tx>
                <c:rich>
                  <a:bodyPr/>
                  <a:lstStyle/>
                  <a:p>
                    <a:r>
                      <a:rPr lang="en-US"/>
                      <a:t>3,729</a:t>
                    </a:r>
                  </a:p>
                </c:rich>
              </c:tx>
              <c:showVal val="1"/>
              <c:extLst>
                <c:ext xmlns:c15="http://schemas.microsoft.com/office/drawing/2012/chart" uri="{CE6537A1-D6FC-4f65-9D91-7224C49458BB}"/>
              </c:extLst>
            </c:dLbl>
            <c:dLbl>
              <c:idx val="2"/>
              <c:layout>
                <c:manualLayout>
                  <c:x val="-3.2407407407408592E-2"/>
                  <c:y val="8.9797979797984082E-2"/>
                </c:manualLayout>
              </c:layout>
              <c:tx>
                <c:rich>
                  <a:bodyPr/>
                  <a:lstStyle/>
                  <a:p>
                    <a:r>
                      <a:rPr lang="en-US"/>
                      <a:t>3,120</a:t>
                    </a:r>
                  </a:p>
                </c:rich>
              </c:tx>
              <c:showVal val="1"/>
              <c:extLst>
                <c:ext xmlns:c15="http://schemas.microsoft.com/office/drawing/2012/chart" uri="{CE6537A1-D6FC-4f65-9D91-7224C49458BB}"/>
              </c:extLst>
            </c:dLbl>
            <c:dLbl>
              <c:idx val="3"/>
              <c:layout>
                <c:manualLayout>
                  <c:x val="-8.6262065053725551E-2"/>
                  <c:y val="3.8610178323297821E-2"/>
                </c:manualLayout>
              </c:layout>
              <c:tx>
                <c:rich>
                  <a:bodyPr/>
                  <a:lstStyle/>
                  <a:p>
                    <a:r>
                      <a:rPr lang="en-US"/>
                      <a:t>1,873</a:t>
                    </a:r>
                  </a:p>
                </c:rich>
              </c:tx>
              <c:showVal val="1"/>
              <c:extLst>
                <c:ext xmlns:c15="http://schemas.microsoft.com/office/drawing/2012/chart" uri="{CE6537A1-D6FC-4f65-9D91-7224C49458BB}"/>
              </c:extLst>
            </c:dLbl>
            <c:dLbl>
              <c:idx val="4"/>
              <c:layout>
                <c:manualLayout>
                  <c:x val="2.3148148148148147E-3"/>
                  <c:y val="5.7727272727272724E-2"/>
                </c:manualLayout>
              </c:layout>
              <c:tx>
                <c:rich>
                  <a:bodyPr/>
                  <a:lstStyle/>
                  <a:p>
                    <a:r>
                      <a:rPr lang="en-US"/>
                      <a:t>2,025</a:t>
                    </a:r>
                  </a:p>
                </c:rich>
              </c:tx>
              <c:showVal val="1"/>
              <c:extLst>
                <c:ext xmlns:c15="http://schemas.microsoft.com/office/drawing/2012/chart" uri="{CE6537A1-D6FC-4f65-9D91-7224C49458BB}"/>
              </c:extLst>
            </c:dLbl>
            <c:dLbl>
              <c:idx val="5"/>
              <c:layout>
                <c:manualLayout>
                  <c:x val="-1.8518518518518583E-2"/>
                  <c:y val="5.1313131313132934E-2"/>
                </c:manualLayout>
              </c:layout>
              <c:tx>
                <c:rich>
                  <a:bodyPr/>
                  <a:lstStyle/>
                  <a:p>
                    <a:r>
                      <a:rPr lang="en-US"/>
                      <a:t>2,011</a:t>
                    </a:r>
                  </a:p>
                </c:rich>
              </c:tx>
              <c:showVal val="1"/>
              <c:extLst>
                <c:ext xmlns:c15="http://schemas.microsoft.com/office/drawing/2012/chart" uri="{CE6537A1-D6FC-4f65-9D91-7224C49458BB}"/>
              </c:extLst>
            </c:dLbl>
            <c:dLbl>
              <c:idx val="6"/>
              <c:layout>
                <c:manualLayout>
                  <c:x val="0"/>
                  <c:y val="4.5449433032382081E-2"/>
                </c:manualLayout>
              </c:layout>
              <c:tx>
                <c:rich>
                  <a:bodyPr/>
                  <a:lstStyle/>
                  <a:p>
                    <a:r>
                      <a:rPr lang="en-US"/>
                      <a:t>1,980</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Sheet1!$A$2:$A$8</c:f>
              <c:numCache>
                <c:formatCode>General</c:formatCode>
                <c:ptCount val="7"/>
                <c:pt idx="0">
                  <c:v>2008</c:v>
                </c:pt>
                <c:pt idx="1">
                  <c:v>2009</c:v>
                </c:pt>
                <c:pt idx="2">
                  <c:v>2010</c:v>
                </c:pt>
                <c:pt idx="3">
                  <c:v>2011</c:v>
                </c:pt>
                <c:pt idx="4">
                  <c:v>2012</c:v>
                </c:pt>
                <c:pt idx="5">
                  <c:v>2013</c:v>
                </c:pt>
                <c:pt idx="6">
                  <c:v>2014</c:v>
                </c:pt>
              </c:numCache>
            </c:numRef>
          </c:cat>
          <c:val>
            <c:numRef>
              <c:f>Sheet1!$D$2:$D$8</c:f>
              <c:numCache>
                <c:formatCode>General</c:formatCode>
                <c:ptCount val="7"/>
                <c:pt idx="0">
                  <c:v>3445</c:v>
                </c:pt>
                <c:pt idx="1">
                  <c:v>3729</c:v>
                </c:pt>
                <c:pt idx="2">
                  <c:v>3120</c:v>
                </c:pt>
                <c:pt idx="3">
                  <c:v>1873</c:v>
                </c:pt>
                <c:pt idx="4">
                  <c:v>2025</c:v>
                </c:pt>
                <c:pt idx="5">
                  <c:v>2011</c:v>
                </c:pt>
                <c:pt idx="6">
                  <c:v>1980</c:v>
                </c:pt>
              </c:numCache>
            </c:numRef>
          </c:val>
        </c:ser>
        <c:marker val="1"/>
        <c:axId val="158481792"/>
        <c:axId val="158520448"/>
      </c:lineChart>
      <c:catAx>
        <c:axId val="158481792"/>
        <c:scaling>
          <c:orientation val="minMax"/>
        </c:scaling>
        <c:axPos val="b"/>
        <c:numFmt formatCode="General" sourceLinked="1"/>
        <c:tickLblPos val="nextTo"/>
        <c:crossAx val="158520448"/>
        <c:crosses val="autoZero"/>
        <c:auto val="1"/>
        <c:lblAlgn val="ctr"/>
        <c:lblOffset val="100"/>
      </c:catAx>
      <c:valAx>
        <c:axId val="158520448"/>
        <c:scaling>
          <c:orientation val="minMax"/>
        </c:scaling>
        <c:axPos val="l"/>
        <c:majorGridlines/>
        <c:numFmt formatCode="General" sourceLinked="1"/>
        <c:tickLblPos val="nextTo"/>
        <c:crossAx val="158481792"/>
        <c:crosses val="autoZero"/>
        <c:crossBetween val="between"/>
      </c:valAx>
    </c:plotArea>
    <c:legend>
      <c:legendPos val="t"/>
      <c:layout>
        <c:manualLayout>
          <c:xMode val="edge"/>
          <c:yMode val="edge"/>
          <c:x val="0.25403428374284975"/>
          <c:y val="1.3333940651784719E-2"/>
          <c:w val="0.53070345384258411"/>
          <c:h val="0.18274755885399549"/>
        </c:manualLayout>
      </c:layout>
      <c:spPr>
        <a:ln>
          <a:solidFill>
            <a:schemeClr val="accent1"/>
          </a:solidFill>
        </a:ln>
      </c:spPr>
      <c:txPr>
        <a:bodyPr/>
        <a:lstStyle/>
        <a:p>
          <a:pPr>
            <a:defRPr sz="900">
              <a:latin typeface="Times New Roman" pitchFamily="18" charset="0"/>
              <a:cs typeface="Times New Roman" pitchFamily="18" charset="0"/>
            </a:defRPr>
          </a:pPr>
          <a:endParaRPr lang="en-US"/>
        </a:p>
      </c:txPr>
    </c:legend>
    <c:plotVisOnly val="1"/>
    <c:dispBlanksAs val="gap"/>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7.7700545342149721E-2"/>
          <c:y val="6.7439468106406414E-2"/>
          <c:w val="0.77669636499772521"/>
          <c:h val="0.6867671369172974"/>
        </c:manualLayout>
      </c:layout>
      <c:lineChart>
        <c:grouping val="standard"/>
        <c:ser>
          <c:idx val="0"/>
          <c:order val="0"/>
          <c:tx>
            <c:strRef>
              <c:f>Sheet1!$A$2</c:f>
              <c:strCache>
                <c:ptCount val="1"/>
                <c:pt idx="0">
                  <c:v>2014</c:v>
                </c:pt>
              </c:strCache>
            </c:strRef>
          </c:tx>
          <c:spPr>
            <a:ln w="22225">
              <a:headEnd type="diamond"/>
            </a:ln>
          </c:spPr>
          <c:marker>
            <c:symbol val="none"/>
          </c:marker>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General</c:formatCode>
                <c:ptCount val="12"/>
                <c:pt idx="0">
                  <c:v>183</c:v>
                </c:pt>
                <c:pt idx="1">
                  <c:v>210</c:v>
                </c:pt>
                <c:pt idx="2">
                  <c:v>202</c:v>
                </c:pt>
                <c:pt idx="3">
                  <c:v>196</c:v>
                </c:pt>
                <c:pt idx="4">
                  <c:v>215</c:v>
                </c:pt>
                <c:pt idx="5">
                  <c:v>202</c:v>
                </c:pt>
                <c:pt idx="6">
                  <c:v>192</c:v>
                </c:pt>
                <c:pt idx="7">
                  <c:v>201</c:v>
                </c:pt>
                <c:pt idx="8">
                  <c:v>182</c:v>
                </c:pt>
                <c:pt idx="9">
                  <c:v>163</c:v>
                </c:pt>
                <c:pt idx="10">
                  <c:v>156</c:v>
                </c:pt>
                <c:pt idx="11">
                  <c:v>151</c:v>
                </c:pt>
              </c:numCache>
            </c:numRef>
          </c:val>
        </c:ser>
        <c:ser>
          <c:idx val="1"/>
          <c:order val="1"/>
          <c:tx>
            <c:strRef>
              <c:f>Sheet1!$A$3</c:f>
              <c:strCache>
                <c:ptCount val="1"/>
                <c:pt idx="0">
                  <c:v>16-17 years</c:v>
                </c:pt>
              </c:strCache>
            </c:strRef>
          </c:tx>
          <c:spPr>
            <a:ln w="22225">
              <a:headEnd type="oval"/>
            </a:ln>
          </c:spPr>
          <c:marker>
            <c:symbol val="none"/>
          </c:marker>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spPr>
              <a:noFill/>
              <a:ln>
                <a:noFill/>
              </a:ln>
              <a:effectLst/>
            </c:spPr>
            <c:dLblPos val="b"/>
            <c:showVal val="1"/>
            <c:extLst>
              <c:ext xmlns:c15="http://schemas.microsoft.com/office/drawing/2012/chart" uri="{CE6537A1-D6FC-4f65-9D91-7224C49458BB}">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Sheet1!$B$3:$M$3</c:f>
              <c:numCache>
                <c:formatCode>General</c:formatCode>
                <c:ptCount val="12"/>
                <c:pt idx="0">
                  <c:v>163</c:v>
                </c:pt>
                <c:pt idx="1">
                  <c:v>182</c:v>
                </c:pt>
                <c:pt idx="2">
                  <c:v>178</c:v>
                </c:pt>
                <c:pt idx="3">
                  <c:v>169</c:v>
                </c:pt>
                <c:pt idx="4">
                  <c:v>182</c:v>
                </c:pt>
                <c:pt idx="5">
                  <c:v>170</c:v>
                </c:pt>
                <c:pt idx="6">
                  <c:v>170</c:v>
                </c:pt>
                <c:pt idx="7">
                  <c:v>178</c:v>
                </c:pt>
                <c:pt idx="8">
                  <c:v>163</c:v>
                </c:pt>
                <c:pt idx="9">
                  <c:v>145</c:v>
                </c:pt>
                <c:pt idx="10">
                  <c:v>139</c:v>
                </c:pt>
                <c:pt idx="11">
                  <c:v>141</c:v>
                </c:pt>
              </c:numCache>
            </c:numRef>
          </c:val>
        </c:ser>
        <c:ser>
          <c:idx val="2"/>
          <c:order val="2"/>
          <c:tx>
            <c:strRef>
              <c:f>Sheet1!$A$4</c:f>
              <c:strCache>
                <c:ptCount val="1"/>
                <c:pt idx="0">
                  <c:v>Under 16 years</c:v>
                </c:pt>
              </c:strCache>
            </c:strRef>
          </c:tx>
          <c:spPr>
            <a:ln w="22225" cmpd="dbl">
              <a:prstDash val="solid"/>
              <a:headEnd type="diamond"/>
              <a:tailEnd type="none"/>
            </a:ln>
          </c:spPr>
          <c:marker>
            <c:symbol val="none"/>
          </c:marker>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Sheet1!$B$4:$M$4</c:f>
              <c:numCache>
                <c:formatCode>General</c:formatCode>
                <c:ptCount val="12"/>
                <c:pt idx="0">
                  <c:v>20</c:v>
                </c:pt>
                <c:pt idx="1">
                  <c:v>28</c:v>
                </c:pt>
                <c:pt idx="2">
                  <c:v>24</c:v>
                </c:pt>
                <c:pt idx="3">
                  <c:v>27</c:v>
                </c:pt>
                <c:pt idx="4">
                  <c:v>33</c:v>
                </c:pt>
                <c:pt idx="5">
                  <c:v>32</c:v>
                </c:pt>
                <c:pt idx="6">
                  <c:v>22</c:v>
                </c:pt>
                <c:pt idx="7">
                  <c:v>23</c:v>
                </c:pt>
                <c:pt idx="8">
                  <c:v>19</c:v>
                </c:pt>
                <c:pt idx="9">
                  <c:v>18</c:v>
                </c:pt>
                <c:pt idx="10">
                  <c:v>17</c:v>
                </c:pt>
                <c:pt idx="11">
                  <c:v>10</c:v>
                </c:pt>
              </c:numCache>
            </c:numRef>
          </c:val>
        </c:ser>
        <c:dLbls>
          <c:showVal val="1"/>
        </c:dLbls>
        <c:marker val="1"/>
        <c:axId val="158812032"/>
        <c:axId val="158813568"/>
      </c:lineChart>
      <c:catAx>
        <c:axId val="158812032"/>
        <c:scaling>
          <c:orientation val="minMax"/>
        </c:scaling>
        <c:axPos val="b"/>
        <c:numFmt formatCode="General" sourceLinked="0"/>
        <c:tickLblPos val="nextTo"/>
        <c:crossAx val="158813568"/>
        <c:crosses val="autoZero"/>
        <c:auto val="1"/>
        <c:lblAlgn val="ctr"/>
        <c:lblOffset val="100"/>
      </c:catAx>
      <c:valAx>
        <c:axId val="158813568"/>
        <c:scaling>
          <c:orientation val="minMax"/>
          <c:max val="250"/>
        </c:scaling>
        <c:axPos val="l"/>
        <c:majorGridlines/>
        <c:numFmt formatCode="General" sourceLinked="1"/>
        <c:tickLblPos val="nextTo"/>
        <c:crossAx val="158812032"/>
        <c:crosses val="autoZero"/>
        <c:crossBetween val="between"/>
        <c:majorUnit val="50"/>
      </c:valAx>
    </c:plotArea>
    <c:legend>
      <c:legendPos val="r"/>
      <c:layout>
        <c:manualLayout>
          <c:xMode val="edge"/>
          <c:yMode val="edge"/>
          <c:x val="0.85853879993233451"/>
          <c:y val="2.9059384544385142E-2"/>
          <c:w val="0.13137094857082229"/>
          <c:h val="0.64287663495976877"/>
        </c:manualLayout>
      </c:layout>
      <c:spPr>
        <a:ln>
          <a:solidFill>
            <a:srgbClr val="4F81BD"/>
          </a:solidFill>
        </a:ln>
      </c:spPr>
    </c:legend>
    <c:plotVisOnly val="1"/>
    <c:dispBlanksAs val="gap"/>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5959595959601268E-2"/>
          <c:y val="0.15467613866878627"/>
          <c:w val="0.87542087542090063"/>
          <c:h val="0.58318785861546452"/>
        </c:manualLayout>
      </c:layout>
      <c:barChart>
        <c:barDir val="col"/>
        <c:grouping val="clustered"/>
        <c:ser>
          <c:idx val="1"/>
          <c:order val="0"/>
          <c:tx>
            <c:strRef>
              <c:f>Sheet1!$A$3</c:f>
              <c:strCache>
                <c:ptCount val="1"/>
                <c:pt idx="0">
                  <c:v>Palesine</c:v>
                </c:pt>
              </c:strCache>
            </c:strRef>
          </c:tx>
          <c:spPr>
            <a:solidFill>
              <a:schemeClr val="accent3">
                <a:lumMod val="40000"/>
                <a:lumOff val="60000"/>
              </a:schemeClr>
            </a:solidFill>
            <a:ln w="12700">
              <a:solidFill>
                <a:srgbClr val="FF00FF"/>
              </a:solidFill>
              <a:prstDash val="solid"/>
            </a:ln>
          </c:spPr>
          <c:dLbls>
            <c:dLbl>
              <c:idx val="0"/>
              <c:layout>
                <c:manualLayout>
                  <c:x val="-9.0707828279986281E-4"/>
                  <c:y val="9.2683956397494258E-3"/>
                </c:manualLayout>
              </c:layout>
              <c:showVal val="1"/>
              <c:extLst>
                <c:ext xmlns:c15="http://schemas.microsoft.com/office/drawing/2012/chart" uri="{CE6537A1-D6FC-4f65-9D91-7224C49458BB}"/>
              </c:extLst>
            </c:dLbl>
            <c:dLbl>
              <c:idx val="1"/>
              <c:layout>
                <c:manualLayout>
                  <c:x val="-9.8639990071786986E-4"/>
                  <c:y val="2.2568598312040757E-2"/>
                </c:manualLayout>
              </c:layout>
              <c:showVal val="1"/>
              <c:extLst>
                <c:ext xmlns:c15="http://schemas.microsoft.com/office/drawing/2012/chart" uri="{CE6537A1-D6FC-4f65-9D91-7224C49458BB}"/>
              </c:extLst>
            </c:dLbl>
            <c:dLbl>
              <c:idx val="2"/>
              <c:layout>
                <c:manualLayout>
                  <c:x val="-4.4151471197679294E-3"/>
                  <c:y val="1.2618296529968416E-2"/>
                </c:manualLayout>
              </c:layout>
              <c:showVal val="1"/>
              <c:extLst>
                <c:ext xmlns:c15="http://schemas.microsoft.com/office/drawing/2012/chart" uri="{CE6537A1-D6FC-4f65-9D91-7224C49458BB}"/>
              </c:extLst>
            </c:dLbl>
            <c:dLbl>
              <c:idx val="3"/>
              <c:layout>
                <c:manualLayout>
                  <c:x val="-2.9154175633259215E-3"/>
                  <c:y val="4.8661800486618006E-3"/>
                </c:manualLayout>
              </c:layout>
              <c:showVal val="1"/>
              <c:extLst>
                <c:ext xmlns:c15="http://schemas.microsoft.com/office/drawing/2012/chart" uri="{CE6537A1-D6FC-4f65-9D91-7224C49458BB}"/>
              </c:extLst>
            </c:dLbl>
            <c:dLbl>
              <c:idx val="4"/>
              <c:layout>
                <c:manualLayout>
                  <c:x val="-1.9867549668875641E-2"/>
                  <c:y val="-4.3795620437957122E-2"/>
                </c:manualLayout>
              </c:layout>
              <c:showVal val="1"/>
              <c:extLst>
                <c:ext xmlns:c15="http://schemas.microsoft.com/office/drawing/2012/chart" uri="{CE6537A1-D6FC-4f65-9D91-7224C49458BB}"/>
              </c:extLst>
            </c:dLbl>
            <c:dLbl>
              <c:idx val="5"/>
              <c:layout>
                <c:manualLayout>
                  <c:x val="-2.2075055187638092E-2"/>
                  <c:y val="-6.3260340632603412E-2"/>
                </c:manualLayout>
              </c:layout>
              <c:showVal val="1"/>
              <c:extLst>
                <c:ext xmlns:c15="http://schemas.microsoft.com/office/drawing/2012/chart" uri="{CE6537A1-D6FC-4f65-9D91-7224C49458BB}"/>
              </c:extLst>
            </c:dLbl>
            <c:dLbl>
              <c:idx val="6"/>
              <c:layout>
                <c:manualLayout>
                  <c:x val="-1.9867549668875641E-2"/>
                  <c:y val="-5.8394160583941902E-2"/>
                </c:manualLayout>
              </c:layout>
              <c:showVal val="1"/>
              <c:extLst>
                <c:ext xmlns:c15="http://schemas.microsoft.com/office/drawing/2012/chart" uri="{CE6537A1-D6FC-4f65-9D91-7224C49458BB}"/>
              </c:extLst>
            </c:dLbl>
            <c:dLbl>
              <c:idx val="7"/>
              <c:layout>
                <c:manualLayout>
                  <c:x val="-2.4282560706401782E-2"/>
                  <c:y val="-5.8394160583941902E-2"/>
                </c:manualLayout>
              </c:layout>
              <c:showVal val="1"/>
              <c:extLst>
                <c:ext xmlns:c15="http://schemas.microsoft.com/office/drawing/2012/chart" uri="{CE6537A1-D6FC-4f65-9D91-7224C49458BB}"/>
              </c:extLst>
            </c:dLbl>
            <c:dLbl>
              <c:idx val="8"/>
              <c:layout>
                <c:manualLayout>
                  <c:x val="-1.9867549668875641E-2"/>
                  <c:y val="-5.8394160583941902E-2"/>
                </c:manualLayout>
              </c:layout>
              <c:showVal val="1"/>
              <c:extLst>
                <c:ext xmlns:c15="http://schemas.microsoft.com/office/drawing/2012/chart" uri="{CE6537A1-D6FC-4f65-9D91-7224C49458BB}"/>
              </c:extLst>
            </c:dLbl>
            <c:dLbl>
              <c:idx val="9"/>
              <c:layout>
                <c:manualLayout>
                  <c:x val="-1.7660044150110313E-2"/>
                  <c:y val="-5.3527980535279802E-2"/>
                </c:manualLayout>
              </c:layout>
              <c:showVal val="1"/>
              <c:extLst>
                <c:ext xmlns:c15="http://schemas.microsoft.com/office/drawing/2012/chart" uri="{CE6537A1-D6FC-4f65-9D91-7224C49458BB}"/>
              </c:extLst>
            </c:dLbl>
            <c:dLbl>
              <c:idx val="10"/>
              <c:layout>
                <c:manualLayout>
                  <c:x val="-1.7660044150110393E-2"/>
                  <c:y val="-5.8394160583941902E-2"/>
                </c:manualLayout>
              </c:layout>
              <c:showVal val="1"/>
              <c:extLst>
                <c:ext xmlns:c15="http://schemas.microsoft.com/office/drawing/2012/chart" uri="{CE6537A1-D6FC-4f65-9D91-7224C49458BB}"/>
              </c:extLst>
            </c:dLbl>
            <c:dLbl>
              <c:idx val="11"/>
              <c:layout>
                <c:manualLayout>
                  <c:x val="-2.4282560706401782E-2"/>
                  <c:y val="-4.3795620437957122E-2"/>
                </c:manualLayout>
              </c:layout>
              <c:showVal val="1"/>
              <c:extLst>
                <c:ext xmlns:c15="http://schemas.microsoft.com/office/drawing/2012/chart" uri="{CE6537A1-D6FC-4f65-9D91-7224C49458BB}"/>
              </c:extLst>
            </c:dLbl>
            <c:dLbl>
              <c:idx val="12"/>
              <c:layout>
                <c:manualLayout>
                  <c:x val="-2.4282560706401782E-2"/>
                  <c:y val="-5.3527980535279802E-2"/>
                </c:manualLayout>
              </c:layout>
              <c:showVal val="1"/>
              <c:extLst>
                <c:ext xmlns:c15="http://schemas.microsoft.com/office/drawing/2012/chart" uri="{CE6537A1-D6FC-4f65-9D91-7224C49458BB}"/>
              </c:extLst>
            </c:dLbl>
            <c:dLbl>
              <c:idx val="13"/>
              <c:layout>
                <c:manualLayout>
                  <c:x val="-1.9867549668875641E-2"/>
                  <c:y val="-5.3527980535279802E-2"/>
                </c:manualLayout>
              </c:layout>
              <c:showVal val="1"/>
              <c:extLst>
                <c:ext xmlns:c15="http://schemas.microsoft.com/office/drawing/2012/chart" uri="{CE6537A1-D6FC-4f65-9D91-7224C49458BB}"/>
              </c:extLst>
            </c:dLbl>
            <c:dLbl>
              <c:idx val="14"/>
              <c:layout>
                <c:manualLayout>
                  <c:x val="-1.9867549668875641E-2"/>
                  <c:y val="-5.3527980535279802E-2"/>
                </c:manualLayout>
              </c:layout>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2009</c:v>
                  </c:pt>
                  <c:pt idx="1">
                    <c:v>2014</c:v>
                  </c:pt>
                  <c:pt idx="2">
                    <c:v>2009</c:v>
                  </c:pt>
                  <c:pt idx="3">
                    <c:v>2014</c:v>
                  </c:pt>
                </c:lvl>
                <c:lvl>
                  <c:pt idx="0">
                    <c:v>10-14 years</c:v>
                  </c:pt>
                  <c:pt idx="2">
                    <c:v>15-17 years</c:v>
                  </c:pt>
                </c:lvl>
              </c:multiLvlStrCache>
            </c:multiLvlStrRef>
          </c:cat>
          <c:val>
            <c:numRef>
              <c:f>Sheet1!$B$3:$E$3</c:f>
              <c:numCache>
                <c:formatCode>#,##0.0</c:formatCode>
                <c:ptCount val="4"/>
                <c:pt idx="0">
                  <c:v>2.1</c:v>
                </c:pt>
                <c:pt idx="1">
                  <c:v>1.6</c:v>
                </c:pt>
                <c:pt idx="2">
                  <c:v>6.4</c:v>
                </c:pt>
                <c:pt idx="3">
                  <c:v>7.5</c:v>
                </c:pt>
              </c:numCache>
            </c:numRef>
          </c:val>
        </c:ser>
        <c:ser>
          <c:idx val="0"/>
          <c:order val="1"/>
          <c:tx>
            <c:strRef>
              <c:f>Sheet1!$A$4</c:f>
              <c:strCache>
                <c:ptCount val="1"/>
                <c:pt idx="0">
                  <c:v>West Bank</c:v>
                </c:pt>
              </c:strCache>
            </c:strRef>
          </c:tx>
          <c:dLbls>
            <c:dLbl>
              <c:idx val="1"/>
              <c:layout>
                <c:manualLayout>
                  <c:x val="6.7834736793689022E-3"/>
                  <c:y val="1.3010575711817542E-2"/>
                </c:manualLayout>
              </c:layout>
              <c:showVal val="1"/>
              <c:extLst>
                <c:ext xmlns:c15="http://schemas.microsoft.com/office/drawing/2012/chart" uri="{CE6537A1-D6FC-4f65-9D91-7224C49458BB}"/>
              </c:extLst>
            </c:dLbl>
            <c:dLbl>
              <c:idx val="2"/>
              <c:layout>
                <c:manualLayout>
                  <c:x val="4.5904131927299594E-3"/>
                  <c:y val="1.7172881328848481E-2"/>
                </c:manualLayout>
              </c:layout>
              <c:showVal val="1"/>
              <c:extLst>
                <c:ext xmlns:c15="http://schemas.microsoft.com/office/drawing/2012/chart" uri="{CE6537A1-D6FC-4f65-9D91-7224C49458BB}"/>
              </c:extLst>
            </c:dLbl>
            <c:dLbl>
              <c:idx val="3"/>
              <c:layout>
                <c:manualLayout>
                  <c:x val="2.2952933815048792E-3"/>
                  <c:y val="1.3010575711817506E-2"/>
                </c:manualLayout>
              </c:layout>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2009</c:v>
                  </c:pt>
                  <c:pt idx="1">
                    <c:v>2014</c:v>
                  </c:pt>
                  <c:pt idx="2">
                    <c:v>2009</c:v>
                  </c:pt>
                  <c:pt idx="3">
                    <c:v>2014</c:v>
                  </c:pt>
                </c:lvl>
                <c:lvl>
                  <c:pt idx="0">
                    <c:v>10-14 years</c:v>
                  </c:pt>
                  <c:pt idx="2">
                    <c:v>15-17 years</c:v>
                  </c:pt>
                </c:lvl>
              </c:multiLvlStrCache>
            </c:multiLvlStrRef>
          </c:cat>
          <c:val>
            <c:numRef>
              <c:f>Sheet1!$B$4:$E$4</c:f>
              <c:numCache>
                <c:formatCode>0.0</c:formatCode>
                <c:ptCount val="4"/>
                <c:pt idx="0">
                  <c:v>3.3</c:v>
                </c:pt>
                <c:pt idx="1">
                  <c:v>2.2999999999999998</c:v>
                </c:pt>
                <c:pt idx="2">
                  <c:v>9.1</c:v>
                </c:pt>
                <c:pt idx="3">
                  <c:v>10.5</c:v>
                </c:pt>
              </c:numCache>
            </c:numRef>
          </c:val>
        </c:ser>
        <c:ser>
          <c:idx val="2"/>
          <c:order val="2"/>
          <c:tx>
            <c:strRef>
              <c:f>Sheet1!$A$5</c:f>
              <c:strCache>
                <c:ptCount val="1"/>
                <c:pt idx="0">
                  <c:v>Gaza Strip</c:v>
                </c:pt>
              </c:strCache>
            </c:strRef>
          </c:tx>
          <c:dLbls>
            <c:spPr>
              <a:noFill/>
              <a:ln>
                <a:noFill/>
              </a:ln>
              <a:effectLst/>
            </c:spPr>
            <c:txPr>
              <a:bodyPr/>
              <a:lstStyle/>
              <a:p>
                <a:pPr>
                  <a:defRPr sz="900" b="0">
                    <a:solidFill>
                      <a:sysClr val="windowText" lastClr="000000"/>
                    </a:solidFill>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2009</c:v>
                  </c:pt>
                  <c:pt idx="1">
                    <c:v>2014</c:v>
                  </c:pt>
                  <c:pt idx="2">
                    <c:v>2009</c:v>
                  </c:pt>
                  <c:pt idx="3">
                    <c:v>2014</c:v>
                  </c:pt>
                </c:lvl>
                <c:lvl>
                  <c:pt idx="0">
                    <c:v>10-14 years</c:v>
                  </c:pt>
                  <c:pt idx="2">
                    <c:v>15-17 years</c:v>
                  </c:pt>
                </c:lvl>
              </c:multiLvlStrCache>
            </c:multiLvlStrRef>
          </c:cat>
          <c:val>
            <c:numRef>
              <c:f>Sheet1!$B$5:$E$5</c:f>
              <c:numCache>
                <c:formatCode>General</c:formatCode>
                <c:ptCount val="4"/>
                <c:pt idx="0">
                  <c:v>0.2</c:v>
                </c:pt>
                <c:pt idx="1">
                  <c:v>0.5</c:v>
                </c:pt>
                <c:pt idx="2">
                  <c:v>2.1</c:v>
                </c:pt>
                <c:pt idx="3">
                  <c:v>2.7</c:v>
                </c:pt>
              </c:numCache>
            </c:numRef>
          </c:val>
        </c:ser>
        <c:dLbls>
          <c:showVal val="1"/>
        </c:dLbls>
        <c:axId val="158923392"/>
        <c:axId val="158548352"/>
      </c:barChart>
      <c:catAx>
        <c:axId val="158923392"/>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58548352"/>
        <c:crosses val="autoZero"/>
        <c:auto val="1"/>
        <c:lblAlgn val="ctr"/>
        <c:lblOffset val="100"/>
        <c:tickLblSkip val="1"/>
        <c:tickMarkSkip val="1"/>
      </c:catAx>
      <c:valAx>
        <c:axId val="158548352"/>
        <c:scaling>
          <c:orientation val="minMax"/>
          <c:max val="12"/>
          <c:min val="0"/>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58923392"/>
        <c:crosses val="autoZero"/>
        <c:crossBetween val="between"/>
      </c:valAx>
      <c:spPr>
        <a:solidFill>
          <a:srgbClr val="FFFFFF"/>
        </a:solidFill>
        <a:ln w="12700">
          <a:solidFill>
            <a:srgbClr val="FFFFFF"/>
          </a:solidFill>
          <a:prstDash val="solid"/>
        </a:ln>
      </c:spPr>
    </c:plotArea>
    <c:legend>
      <c:legendPos val="r"/>
      <c:layout>
        <c:manualLayout>
          <c:xMode val="edge"/>
          <c:yMode val="edge"/>
          <c:x val="0.35329673574013726"/>
          <c:y val="2.7407506565520167E-2"/>
          <c:w val="0.40134464895845906"/>
          <c:h val="0.10305829684289235"/>
        </c:manualLayout>
      </c:layout>
      <c:overlay val="1"/>
      <c:spPr>
        <a:noFill/>
        <a:ln w="12700">
          <a:solidFill>
            <a:srgbClr val="4F81BD"/>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5959595959598798E-2"/>
          <c:y val="0.15467613866878627"/>
          <c:w val="0.87542087542090063"/>
          <c:h val="0.58318785861546452"/>
        </c:manualLayout>
      </c:layout>
      <c:barChart>
        <c:barDir val="col"/>
        <c:grouping val="clustered"/>
        <c:ser>
          <c:idx val="0"/>
          <c:order val="0"/>
          <c:tx>
            <c:strRef>
              <c:f>Sheet1!$A$3</c:f>
              <c:strCache>
                <c:ptCount val="1"/>
                <c:pt idx="0">
                  <c:v>Male</c:v>
                </c:pt>
              </c:strCache>
            </c:strRef>
          </c:tx>
          <c:spPr>
            <a:solidFill>
              <a:schemeClr val="tx2">
                <a:lumMod val="20000"/>
                <a:lumOff val="80000"/>
              </a:schemeClr>
            </a:solidFill>
          </c:spPr>
          <c:dPt>
            <c:idx val="0"/>
            <c:spPr>
              <a:solidFill>
                <a:schemeClr val="tx2">
                  <a:lumMod val="20000"/>
                  <a:lumOff val="80000"/>
                </a:schemeClr>
              </a:solidFill>
              <a:ln w="12700"/>
            </c:spPr>
          </c:dPt>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2009</c:v>
                  </c:pt>
                  <c:pt idx="1">
                    <c:v>2014</c:v>
                  </c:pt>
                  <c:pt idx="2">
                    <c:v>2009</c:v>
                  </c:pt>
                  <c:pt idx="3">
                    <c:v>2014</c:v>
                  </c:pt>
                </c:lvl>
                <c:lvl>
                  <c:pt idx="0">
                    <c:v>10-14 years</c:v>
                  </c:pt>
                  <c:pt idx="2">
                    <c:v>15-17 years</c:v>
                  </c:pt>
                </c:lvl>
              </c:multiLvlStrCache>
            </c:multiLvlStrRef>
          </c:cat>
          <c:val>
            <c:numRef>
              <c:f>Sheet1!$B$3:$E$3</c:f>
              <c:numCache>
                <c:formatCode>#,##0.0</c:formatCode>
                <c:ptCount val="4"/>
                <c:pt idx="0">
                  <c:v>3.5</c:v>
                </c:pt>
                <c:pt idx="1">
                  <c:v>2.8</c:v>
                </c:pt>
                <c:pt idx="2">
                  <c:v>11.7</c:v>
                </c:pt>
                <c:pt idx="3">
                  <c:v>14.5</c:v>
                </c:pt>
              </c:numCache>
            </c:numRef>
          </c:val>
        </c:ser>
        <c:ser>
          <c:idx val="1"/>
          <c:order val="1"/>
          <c:tx>
            <c:strRef>
              <c:f>Sheet1!$A$4</c:f>
              <c:strCache>
                <c:ptCount val="1"/>
                <c:pt idx="0">
                  <c:v>Female</c:v>
                </c:pt>
              </c:strCache>
            </c:strRef>
          </c:tx>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2009</c:v>
                  </c:pt>
                  <c:pt idx="1">
                    <c:v>2014</c:v>
                  </c:pt>
                  <c:pt idx="2">
                    <c:v>2009</c:v>
                  </c:pt>
                  <c:pt idx="3">
                    <c:v>2014</c:v>
                  </c:pt>
                </c:lvl>
                <c:lvl>
                  <c:pt idx="0">
                    <c:v>10-14 years</c:v>
                  </c:pt>
                  <c:pt idx="2">
                    <c:v>15-17 years</c:v>
                  </c:pt>
                </c:lvl>
              </c:multiLvlStrCache>
            </c:multiLvlStrRef>
          </c:cat>
          <c:val>
            <c:numRef>
              <c:f>Sheet1!$B$4:$E$4</c:f>
              <c:numCache>
                <c:formatCode>0.0</c:formatCode>
                <c:ptCount val="4"/>
                <c:pt idx="0">
                  <c:v>0.60000000000000064</c:v>
                </c:pt>
                <c:pt idx="1">
                  <c:v>0.30000000000000032</c:v>
                </c:pt>
                <c:pt idx="2">
                  <c:v>1.3</c:v>
                </c:pt>
                <c:pt idx="3">
                  <c:v>0.4</c:v>
                </c:pt>
              </c:numCache>
            </c:numRef>
          </c:val>
        </c:ser>
        <c:dLbls>
          <c:showVal val="1"/>
        </c:dLbls>
        <c:axId val="158598656"/>
        <c:axId val="158600192"/>
      </c:barChart>
      <c:catAx>
        <c:axId val="158598656"/>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58600192"/>
        <c:crosses val="autoZero"/>
        <c:auto val="1"/>
        <c:lblAlgn val="ctr"/>
        <c:lblOffset val="100"/>
        <c:tickLblSkip val="1"/>
        <c:tickMarkSkip val="1"/>
      </c:catAx>
      <c:valAx>
        <c:axId val="158600192"/>
        <c:scaling>
          <c:orientation val="minMax"/>
          <c:max val="16"/>
          <c:min val="0"/>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58598656"/>
        <c:crosses val="autoZero"/>
        <c:crossBetween val="between"/>
        <c:majorUnit val="4"/>
      </c:valAx>
      <c:spPr>
        <a:solidFill>
          <a:srgbClr val="FFFFFF"/>
        </a:solidFill>
        <a:ln w="12700">
          <a:solidFill>
            <a:srgbClr val="FFFFFF"/>
          </a:solidFill>
          <a:prstDash val="solid"/>
        </a:ln>
      </c:spPr>
    </c:plotArea>
    <c:legend>
      <c:legendPos val="r"/>
      <c:layout>
        <c:manualLayout>
          <c:xMode val="edge"/>
          <c:yMode val="edge"/>
          <c:x val="0.38209088010398556"/>
          <c:y val="4.4933979736876524E-2"/>
          <c:w val="0.26166018962822402"/>
          <c:h val="0.14113782125421218"/>
        </c:manualLayout>
      </c:layout>
      <c:overlay val="1"/>
      <c:spPr>
        <a:noFill/>
        <a:ln w="12700">
          <a:solidFill>
            <a:srgbClr val="4F81BD"/>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5075261009924501E-2"/>
          <c:y val="0.15467613866878627"/>
          <c:w val="0.90630514515894856"/>
          <c:h val="0.58318785861546452"/>
        </c:manualLayout>
      </c:layout>
      <c:barChart>
        <c:barDir val="col"/>
        <c:grouping val="clustered"/>
        <c:ser>
          <c:idx val="1"/>
          <c:order val="0"/>
          <c:tx>
            <c:strRef>
              <c:f>Sheet1!$A$3</c:f>
              <c:strCache>
                <c:ptCount val="1"/>
                <c:pt idx="0">
                  <c:v>Palestine</c:v>
                </c:pt>
              </c:strCache>
            </c:strRef>
          </c:tx>
          <c:spPr>
            <a:solidFill>
              <a:srgbClr val="9BBB59">
                <a:lumMod val="40000"/>
                <a:lumOff val="60000"/>
              </a:srgbClr>
            </a:solidFill>
            <a:ln w="12700">
              <a:solidFill>
                <a:srgbClr val="FF00FF"/>
              </a:solidFill>
              <a:prstDash val="solid"/>
            </a:ln>
          </c:spPr>
          <c:dLbls>
            <c:dLbl>
              <c:idx val="0"/>
              <c:layout>
                <c:manualLayout>
                  <c:x val="-9.0707828279986324E-4"/>
                  <c:y val="9.2683956397494206E-3"/>
                </c:manualLayout>
              </c:layout>
              <c:showVal val="1"/>
              <c:extLst>
                <c:ext xmlns:c15="http://schemas.microsoft.com/office/drawing/2012/chart" uri="{CE6537A1-D6FC-4f65-9D91-7224C49458BB}"/>
              </c:extLst>
            </c:dLbl>
            <c:dLbl>
              <c:idx val="1"/>
              <c:layout>
                <c:manualLayout>
                  <c:x val="-9.863999007178703E-4"/>
                  <c:y val="2.2568598312040757E-2"/>
                </c:manualLayout>
              </c:layout>
              <c:showVal val="1"/>
              <c:extLst>
                <c:ext xmlns:c15="http://schemas.microsoft.com/office/drawing/2012/chart" uri="{CE6537A1-D6FC-4f65-9D91-7224C49458BB}"/>
              </c:extLst>
            </c:dLbl>
            <c:dLbl>
              <c:idx val="2"/>
              <c:layout>
                <c:manualLayout>
                  <c:x val="-4.4151471197679234E-3"/>
                  <c:y val="1.2618296529968416E-2"/>
                </c:manualLayout>
              </c:layout>
              <c:showVal val="1"/>
              <c:extLst>
                <c:ext xmlns:c15="http://schemas.microsoft.com/office/drawing/2012/chart" uri="{CE6537A1-D6FC-4f65-9D91-7224C49458BB}"/>
              </c:extLst>
            </c:dLbl>
            <c:dLbl>
              <c:idx val="3"/>
              <c:layout>
                <c:manualLayout>
                  <c:x val="-2.9154175633259202E-3"/>
                  <c:y val="4.8661800486618006E-3"/>
                </c:manualLayout>
              </c:layout>
              <c:showVal val="1"/>
              <c:extLst>
                <c:ext xmlns:c15="http://schemas.microsoft.com/office/drawing/2012/chart" uri="{CE6537A1-D6FC-4f65-9D91-7224C49458BB}"/>
              </c:extLst>
            </c:dLbl>
            <c:dLbl>
              <c:idx val="4"/>
              <c:layout>
                <c:manualLayout>
                  <c:x val="-1.9867549668875654E-2"/>
                  <c:y val="-4.3795620437957032E-2"/>
                </c:manualLayout>
              </c:layout>
              <c:showVal val="1"/>
              <c:extLst>
                <c:ext xmlns:c15="http://schemas.microsoft.com/office/drawing/2012/chart" uri="{CE6537A1-D6FC-4f65-9D91-7224C49458BB}"/>
              </c:extLst>
            </c:dLbl>
            <c:dLbl>
              <c:idx val="5"/>
              <c:layout>
                <c:manualLayout>
                  <c:x val="-2.2075055187638012E-2"/>
                  <c:y val="-6.3260340632603412E-2"/>
                </c:manualLayout>
              </c:layout>
              <c:showVal val="1"/>
              <c:extLst>
                <c:ext xmlns:c15="http://schemas.microsoft.com/office/drawing/2012/chart" uri="{CE6537A1-D6FC-4f65-9D91-7224C49458BB}"/>
              </c:extLst>
            </c:dLbl>
            <c:dLbl>
              <c:idx val="6"/>
              <c:layout>
                <c:manualLayout>
                  <c:x val="-1.9867549668875654E-2"/>
                  <c:y val="-5.8394160583941833E-2"/>
                </c:manualLayout>
              </c:layout>
              <c:showVal val="1"/>
              <c:extLst>
                <c:ext xmlns:c15="http://schemas.microsoft.com/office/drawing/2012/chart" uri="{CE6537A1-D6FC-4f65-9D91-7224C49458BB}"/>
              </c:extLst>
            </c:dLbl>
            <c:dLbl>
              <c:idx val="7"/>
              <c:layout>
                <c:manualLayout>
                  <c:x val="-2.4282560706401772E-2"/>
                  <c:y val="-5.8394160583941833E-2"/>
                </c:manualLayout>
              </c:layout>
              <c:showVal val="1"/>
              <c:extLst>
                <c:ext xmlns:c15="http://schemas.microsoft.com/office/drawing/2012/chart" uri="{CE6537A1-D6FC-4f65-9D91-7224C49458BB}"/>
              </c:extLst>
            </c:dLbl>
            <c:dLbl>
              <c:idx val="8"/>
              <c:layout>
                <c:manualLayout>
                  <c:x val="-1.9867549668875654E-2"/>
                  <c:y val="-5.8394160583941833E-2"/>
                </c:manualLayout>
              </c:layout>
              <c:showVal val="1"/>
              <c:extLst>
                <c:ext xmlns:c15="http://schemas.microsoft.com/office/drawing/2012/chart" uri="{CE6537A1-D6FC-4f65-9D91-7224C49458BB}"/>
              </c:extLst>
            </c:dLbl>
            <c:dLbl>
              <c:idx val="9"/>
              <c:layout>
                <c:manualLayout>
                  <c:x val="-1.7660044150110295E-2"/>
                  <c:y val="-5.3527980535279802E-2"/>
                </c:manualLayout>
              </c:layout>
              <c:showVal val="1"/>
              <c:extLst>
                <c:ext xmlns:c15="http://schemas.microsoft.com/office/drawing/2012/chart" uri="{CE6537A1-D6FC-4f65-9D91-7224C49458BB}"/>
              </c:extLst>
            </c:dLbl>
            <c:dLbl>
              <c:idx val="10"/>
              <c:layout>
                <c:manualLayout>
                  <c:x val="-1.7660044150110375E-2"/>
                  <c:y val="-5.8394160583941833E-2"/>
                </c:manualLayout>
              </c:layout>
              <c:showVal val="1"/>
              <c:extLst>
                <c:ext xmlns:c15="http://schemas.microsoft.com/office/drawing/2012/chart" uri="{CE6537A1-D6FC-4f65-9D91-7224C49458BB}"/>
              </c:extLst>
            </c:dLbl>
            <c:dLbl>
              <c:idx val="11"/>
              <c:layout>
                <c:manualLayout>
                  <c:x val="-2.4282560706401772E-2"/>
                  <c:y val="-4.3795620437957032E-2"/>
                </c:manualLayout>
              </c:layout>
              <c:showVal val="1"/>
              <c:extLst>
                <c:ext xmlns:c15="http://schemas.microsoft.com/office/drawing/2012/chart" uri="{CE6537A1-D6FC-4f65-9D91-7224C49458BB}"/>
              </c:extLst>
            </c:dLbl>
            <c:dLbl>
              <c:idx val="12"/>
              <c:layout>
                <c:manualLayout>
                  <c:x val="-2.4282560706401772E-2"/>
                  <c:y val="-5.3527980535279802E-2"/>
                </c:manualLayout>
              </c:layout>
              <c:showVal val="1"/>
              <c:extLst>
                <c:ext xmlns:c15="http://schemas.microsoft.com/office/drawing/2012/chart" uri="{CE6537A1-D6FC-4f65-9D91-7224C49458BB}"/>
              </c:extLst>
            </c:dLbl>
            <c:dLbl>
              <c:idx val="13"/>
              <c:layout>
                <c:manualLayout>
                  <c:x val="-1.9867549668875654E-2"/>
                  <c:y val="-5.3527980535279802E-2"/>
                </c:manualLayout>
              </c:layout>
              <c:showVal val="1"/>
              <c:extLst>
                <c:ext xmlns:c15="http://schemas.microsoft.com/office/drawing/2012/chart" uri="{CE6537A1-D6FC-4f65-9D91-7224C49458BB}"/>
              </c:extLst>
            </c:dLbl>
            <c:dLbl>
              <c:idx val="14"/>
              <c:layout>
                <c:manualLayout>
                  <c:x val="-1.9867549668875654E-2"/>
                  <c:y val="-5.3527980535279802E-2"/>
                </c:manualLayout>
              </c:layout>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2009</c:v>
                  </c:pt>
                  <c:pt idx="1">
                    <c:v>2014</c:v>
                  </c:pt>
                  <c:pt idx="2">
                    <c:v>2009</c:v>
                  </c:pt>
                  <c:pt idx="3">
                    <c:v>2014</c:v>
                  </c:pt>
                </c:lvl>
                <c:lvl>
                  <c:pt idx="0">
                    <c:v>10-14 years</c:v>
                  </c:pt>
                  <c:pt idx="2">
                    <c:v>15-17 years</c:v>
                  </c:pt>
                </c:lvl>
              </c:multiLvlStrCache>
            </c:multiLvlStrRef>
          </c:cat>
          <c:val>
            <c:numRef>
              <c:f>Sheet1!$B$3:$E$3</c:f>
              <c:numCache>
                <c:formatCode>#,##0.0</c:formatCode>
                <c:ptCount val="4"/>
                <c:pt idx="0">
                  <c:v>13.3</c:v>
                </c:pt>
                <c:pt idx="1">
                  <c:v>16.2</c:v>
                </c:pt>
                <c:pt idx="2">
                  <c:v>28.8</c:v>
                </c:pt>
                <c:pt idx="3">
                  <c:v>30.8</c:v>
                </c:pt>
              </c:numCache>
            </c:numRef>
          </c:val>
        </c:ser>
        <c:ser>
          <c:idx val="0"/>
          <c:order val="1"/>
          <c:tx>
            <c:strRef>
              <c:f>Sheet1!$A$4</c:f>
              <c:strCache>
                <c:ptCount val="1"/>
                <c:pt idx="0">
                  <c:v>West Bank</c:v>
                </c:pt>
              </c:strCache>
            </c:strRef>
          </c:tx>
          <c:dLbls>
            <c:dLbl>
              <c:idx val="1"/>
              <c:layout>
                <c:manualLayout>
                  <c:x val="6.7834736793689013E-3"/>
                  <c:y val="1.3010575711817548E-2"/>
                </c:manualLayout>
              </c:layout>
              <c:showVal val="1"/>
              <c:extLst>
                <c:ext xmlns:c15="http://schemas.microsoft.com/office/drawing/2012/chart" uri="{CE6537A1-D6FC-4f65-9D91-7224C49458BB}"/>
              </c:extLst>
            </c:dLbl>
            <c:dLbl>
              <c:idx val="2"/>
              <c:layout>
                <c:manualLayout>
                  <c:x val="4.5904131927299524E-3"/>
                  <c:y val="1.7172881328848463E-2"/>
                </c:manualLayout>
              </c:layout>
              <c:showVal val="1"/>
              <c:extLst>
                <c:ext xmlns:c15="http://schemas.microsoft.com/office/drawing/2012/chart" uri="{CE6537A1-D6FC-4f65-9D91-7224C49458BB}"/>
              </c:extLst>
            </c:dLbl>
            <c:dLbl>
              <c:idx val="3"/>
              <c:layout>
                <c:manualLayout>
                  <c:x val="2.2952933815048792E-3"/>
                  <c:y val="1.301057571181752E-2"/>
                </c:manualLayout>
              </c:layout>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2009</c:v>
                  </c:pt>
                  <c:pt idx="1">
                    <c:v>2014</c:v>
                  </c:pt>
                  <c:pt idx="2">
                    <c:v>2009</c:v>
                  </c:pt>
                  <c:pt idx="3">
                    <c:v>2014</c:v>
                  </c:pt>
                </c:lvl>
                <c:lvl>
                  <c:pt idx="0">
                    <c:v>10-14 years</c:v>
                  </c:pt>
                  <c:pt idx="2">
                    <c:v>15-17 years</c:v>
                  </c:pt>
                </c:lvl>
              </c:multiLvlStrCache>
            </c:multiLvlStrRef>
          </c:cat>
          <c:val>
            <c:numRef>
              <c:f>Sheet1!$B$4:$E$4</c:f>
              <c:numCache>
                <c:formatCode>0.0</c:formatCode>
                <c:ptCount val="4"/>
                <c:pt idx="0">
                  <c:v>18</c:v>
                </c:pt>
                <c:pt idx="1">
                  <c:v>17.3</c:v>
                </c:pt>
                <c:pt idx="2">
                  <c:v>36.9</c:v>
                </c:pt>
                <c:pt idx="3">
                  <c:v>40.200000000000003</c:v>
                </c:pt>
              </c:numCache>
            </c:numRef>
          </c:val>
        </c:ser>
        <c:ser>
          <c:idx val="2"/>
          <c:order val="2"/>
          <c:tx>
            <c:strRef>
              <c:f>Sheet1!$A$5</c:f>
              <c:strCache>
                <c:ptCount val="1"/>
                <c:pt idx="0">
                  <c:v>Gaza Strip</c:v>
                </c:pt>
              </c:strCache>
            </c:strRef>
          </c:tx>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2009</c:v>
                  </c:pt>
                  <c:pt idx="1">
                    <c:v>2014</c:v>
                  </c:pt>
                  <c:pt idx="2">
                    <c:v>2009</c:v>
                  </c:pt>
                  <c:pt idx="3">
                    <c:v>2014</c:v>
                  </c:pt>
                </c:lvl>
                <c:lvl>
                  <c:pt idx="0">
                    <c:v>10-14 years</c:v>
                  </c:pt>
                  <c:pt idx="2">
                    <c:v>15-17 years</c:v>
                  </c:pt>
                </c:lvl>
              </c:multiLvlStrCache>
            </c:multiLvlStrRef>
          </c:cat>
          <c:val>
            <c:numRef>
              <c:f>Sheet1!$B$5:$E$5</c:f>
              <c:numCache>
                <c:formatCode>General</c:formatCode>
                <c:ptCount val="4"/>
                <c:pt idx="0">
                  <c:v>3.9</c:v>
                </c:pt>
                <c:pt idx="1">
                  <c:v>14.6</c:v>
                </c:pt>
                <c:pt idx="2">
                  <c:v>12.8</c:v>
                </c:pt>
                <c:pt idx="3">
                  <c:v>14.4</c:v>
                </c:pt>
              </c:numCache>
            </c:numRef>
          </c:val>
        </c:ser>
        <c:dLbls>
          <c:showVal val="1"/>
        </c:dLbls>
        <c:axId val="190739584"/>
        <c:axId val="190741120"/>
      </c:barChart>
      <c:catAx>
        <c:axId val="190739584"/>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90741120"/>
        <c:crosses val="autoZero"/>
        <c:auto val="1"/>
        <c:lblAlgn val="ctr"/>
        <c:lblOffset val="100"/>
        <c:tickLblSkip val="1"/>
        <c:tickMarkSkip val="1"/>
      </c:catAx>
      <c:valAx>
        <c:axId val="190741120"/>
        <c:scaling>
          <c:orientation val="minMax"/>
          <c:max val="45"/>
          <c:min val="0"/>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90739584"/>
        <c:crosses val="autoZero"/>
        <c:crossBetween val="between"/>
      </c:valAx>
      <c:spPr>
        <a:solidFill>
          <a:srgbClr val="FFFFFF"/>
        </a:solidFill>
        <a:ln w="12700">
          <a:solidFill>
            <a:srgbClr val="FFFFFF"/>
          </a:solidFill>
          <a:prstDash val="solid"/>
        </a:ln>
      </c:spPr>
    </c:plotArea>
    <c:legend>
      <c:legendPos val="r"/>
      <c:layout>
        <c:manualLayout>
          <c:xMode val="edge"/>
          <c:yMode val="edge"/>
          <c:x val="0.27581008395917739"/>
          <c:y val="3.9307935186456616E-2"/>
          <c:w val="0.44105305486484631"/>
          <c:h val="7.9689693008739584E-2"/>
        </c:manualLayout>
      </c:layout>
      <c:overlay val="1"/>
      <c:spPr>
        <a:noFill/>
        <a:ln w="12700">
          <a:solidFill>
            <a:srgbClr val="4F81BD"/>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7.7571449402158058E-2"/>
          <c:y val="7.5527344796186197E-2"/>
          <c:w val="0.64444243948673163"/>
          <c:h val="0.75405324334460777"/>
        </c:manualLayout>
      </c:layout>
      <c:lineChart>
        <c:grouping val="standard"/>
        <c:ser>
          <c:idx val="0"/>
          <c:order val="0"/>
          <c:tx>
            <c:strRef>
              <c:f>Sheet1!$B$1</c:f>
              <c:strCache>
                <c:ptCount val="1"/>
                <c:pt idx="0">
                  <c:v>Unemployment among women heads of household</c:v>
                </c:pt>
              </c:strCache>
            </c:strRef>
          </c:tx>
          <c:dLbls>
            <c:dLbl>
              <c:idx val="0"/>
              <c:layout>
                <c:manualLayout>
                  <c:x val="-3.4722222222222224E-2"/>
                  <c:y val="-8.8397790055248698E-2"/>
                </c:manualLayout>
              </c:layout>
              <c:showVal val="1"/>
              <c:extLst>
                <c:ext xmlns:c15="http://schemas.microsoft.com/office/drawing/2012/chart" uri="{CE6537A1-D6FC-4f65-9D91-7224C49458BB}"/>
              </c:extLst>
            </c:dLbl>
            <c:dLbl>
              <c:idx val="1"/>
              <c:layout>
                <c:manualLayout>
                  <c:x val="-4.3981481481481483E-2"/>
                  <c:y val="-8.8397790055248698E-2"/>
                </c:manualLayout>
              </c:layout>
              <c:showVal val="1"/>
              <c:extLst>
                <c:ext xmlns:c15="http://schemas.microsoft.com/office/drawing/2012/chart" uri="{CE6537A1-D6FC-4f65-9D91-7224C49458BB}"/>
              </c:extLst>
            </c:dLbl>
            <c:dLbl>
              <c:idx val="2"/>
              <c:layout>
                <c:manualLayout>
                  <c:x val="-2.7777777777780066E-2"/>
                  <c:y val="-0.11049723756906055"/>
                </c:manualLayout>
              </c:layout>
              <c:showVal val="1"/>
              <c:extLst>
                <c:ext xmlns:c15="http://schemas.microsoft.com/office/drawing/2012/chart" uri="{CE6537A1-D6FC-4f65-9D91-7224C49458BB}"/>
              </c:extLst>
            </c:dLbl>
            <c:dLbl>
              <c:idx val="3"/>
              <c:layout>
                <c:manualLayout>
                  <c:x val="-2.7125851743441197E-2"/>
                  <c:y val="-5.5172700341121934E-2"/>
                </c:manualLayout>
              </c:layout>
              <c:showVal val="1"/>
              <c:extLst>
                <c:ext xmlns:c15="http://schemas.microsoft.com/office/drawing/2012/chart" uri="{CE6537A1-D6FC-4f65-9D91-7224C49458BB}"/>
              </c:extLst>
            </c:dLbl>
            <c:dLbl>
              <c:idx val="4"/>
              <c:layout>
                <c:manualLayout>
                  <c:x val="-5.0741977651642033E-2"/>
                  <c:y val="-5.804459919310944E-2"/>
                </c:manualLayout>
              </c:layout>
              <c:showVal val="1"/>
              <c:extLst>
                <c:ext xmlns:c15="http://schemas.microsoft.com/office/drawing/2012/chart" uri="{CE6537A1-D6FC-4f65-9D91-7224C49458BB}"/>
              </c:extLst>
            </c:dLbl>
            <c:dLbl>
              <c:idx val="5"/>
              <c:layout>
                <c:manualLayout>
                  <c:x val="-2.7777777777779313E-2"/>
                  <c:y val="-6.1224489795918373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Sheet1!$A$2:$A$7</c:f>
              <c:numCache>
                <c:formatCode>General</c:formatCode>
                <c:ptCount val="6"/>
                <c:pt idx="0">
                  <c:v>2009</c:v>
                </c:pt>
                <c:pt idx="1">
                  <c:v>2010</c:v>
                </c:pt>
                <c:pt idx="2">
                  <c:v>2011</c:v>
                </c:pt>
                <c:pt idx="3">
                  <c:v>2012</c:v>
                </c:pt>
                <c:pt idx="4">
                  <c:v>2013</c:v>
                </c:pt>
                <c:pt idx="5">
                  <c:v>2014</c:v>
                </c:pt>
              </c:numCache>
            </c:numRef>
          </c:cat>
          <c:val>
            <c:numRef>
              <c:f>Sheet1!$B$2:$B$7</c:f>
              <c:numCache>
                <c:formatCode>0.0</c:formatCode>
                <c:ptCount val="6"/>
                <c:pt idx="0">
                  <c:v>7.9</c:v>
                </c:pt>
                <c:pt idx="1">
                  <c:v>6.2</c:v>
                </c:pt>
                <c:pt idx="2">
                  <c:v>5.0999999999999996</c:v>
                </c:pt>
                <c:pt idx="3">
                  <c:v>8.1</c:v>
                </c:pt>
                <c:pt idx="4">
                  <c:v>8</c:v>
                </c:pt>
                <c:pt idx="5">
                  <c:v>16.100000000000001</c:v>
                </c:pt>
              </c:numCache>
            </c:numRef>
          </c:val>
        </c:ser>
        <c:ser>
          <c:idx val="1"/>
          <c:order val="1"/>
          <c:tx>
            <c:strRef>
              <c:f>Sheet1!$C$1</c:f>
              <c:strCache>
                <c:ptCount val="1"/>
                <c:pt idx="0">
                  <c:v>Unemploment among men heads of household</c:v>
                </c:pt>
              </c:strCache>
            </c:strRef>
          </c:tx>
          <c:spPr>
            <a:ln w="19050"/>
          </c:spPr>
          <c:dLbls>
            <c:dLbl>
              <c:idx val="0"/>
              <c:layout>
                <c:manualLayout>
                  <c:x val="-2.0833394857185092E-2"/>
                  <c:y val="-4.5356639811865336E-2"/>
                </c:manualLayout>
              </c:layout>
              <c:showVal val="1"/>
              <c:extLst>
                <c:ext xmlns:c15="http://schemas.microsoft.com/office/drawing/2012/chart" uri="{CE6537A1-D6FC-4f65-9D91-7224C49458BB}"/>
              </c:extLst>
            </c:dLbl>
            <c:dLbl>
              <c:idx val="1"/>
              <c:layout>
                <c:manualLayout>
                  <c:x val="-3.9351871555569212E-2"/>
                  <c:y val="-6.8282802261952741E-2"/>
                </c:manualLayout>
              </c:layout>
              <c:showVal val="1"/>
              <c:extLst>
                <c:ext xmlns:c15="http://schemas.microsoft.com/office/drawing/2012/chart" uri="{CE6537A1-D6FC-4f65-9D91-7224C49458BB}"/>
              </c:extLst>
            </c:dLbl>
            <c:dLbl>
              <c:idx val="2"/>
              <c:layout>
                <c:manualLayout>
                  <c:x val="-3.0092592592592591E-2"/>
                  <c:y val="-0.13996316758748764"/>
                </c:manualLayout>
              </c:layout>
              <c:showVal val="1"/>
              <c:extLst>
                <c:ext xmlns:c15="http://schemas.microsoft.com/office/drawing/2012/chart" uri="{CE6537A1-D6FC-4f65-9D91-7224C49458BB}"/>
              </c:extLst>
            </c:dLbl>
            <c:dLbl>
              <c:idx val="3"/>
              <c:layout>
                <c:manualLayout>
                  <c:x val="-3.240740740740896E-2"/>
                  <c:y val="-8.1031307550644568E-2"/>
                </c:manualLayout>
              </c:layout>
              <c:showVal val="1"/>
              <c:extLst>
                <c:ext xmlns:c15="http://schemas.microsoft.com/office/drawing/2012/chart" uri="{CE6537A1-D6FC-4f65-9D91-7224C49458BB}"/>
              </c:extLst>
            </c:dLbl>
            <c:dLbl>
              <c:idx val="4"/>
              <c:layout>
                <c:manualLayout>
                  <c:x val="-2.5462962962962982E-2"/>
                  <c:y val="-6.1224489795918373E-2"/>
                </c:manualLayout>
              </c:layout>
              <c:showVal val="1"/>
              <c:extLst>
                <c:ext xmlns:c15="http://schemas.microsoft.com/office/drawing/2012/chart" uri="{CE6537A1-D6FC-4f65-9D91-7224C49458BB}"/>
              </c:extLst>
            </c:dLbl>
            <c:dLbl>
              <c:idx val="5"/>
              <c:layout>
                <c:manualLayout>
                  <c:x val="-9.4764682124355258E-3"/>
                  <c:y val="4.1515391998404504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Sheet1!$A$2:$A$7</c:f>
              <c:numCache>
                <c:formatCode>General</c:formatCode>
                <c:ptCount val="6"/>
                <c:pt idx="0">
                  <c:v>2009</c:v>
                </c:pt>
                <c:pt idx="1">
                  <c:v>2010</c:v>
                </c:pt>
                <c:pt idx="2">
                  <c:v>2011</c:v>
                </c:pt>
                <c:pt idx="3">
                  <c:v>2012</c:v>
                </c:pt>
                <c:pt idx="4">
                  <c:v>2013</c:v>
                </c:pt>
                <c:pt idx="5">
                  <c:v>2014</c:v>
                </c:pt>
              </c:numCache>
            </c:numRef>
          </c:cat>
          <c:val>
            <c:numRef>
              <c:f>Sheet1!$C$2:$C$7</c:f>
              <c:numCache>
                <c:formatCode>0.0</c:formatCode>
                <c:ptCount val="6"/>
                <c:pt idx="0">
                  <c:v>18.2</c:v>
                </c:pt>
                <c:pt idx="1">
                  <c:v>17</c:v>
                </c:pt>
                <c:pt idx="2">
                  <c:v>12.8</c:v>
                </c:pt>
                <c:pt idx="3">
                  <c:v>13</c:v>
                </c:pt>
                <c:pt idx="4">
                  <c:v>12.8</c:v>
                </c:pt>
                <c:pt idx="5">
                  <c:v>15.5</c:v>
                </c:pt>
              </c:numCache>
            </c:numRef>
          </c:val>
        </c:ser>
        <c:marker val="1"/>
        <c:axId val="7190784"/>
        <c:axId val="7196672"/>
      </c:lineChart>
      <c:catAx>
        <c:axId val="7190784"/>
        <c:scaling>
          <c:orientation val="minMax"/>
        </c:scaling>
        <c:axPos val="b"/>
        <c:numFmt formatCode="General" sourceLinked="1"/>
        <c:tickLblPos val="nextTo"/>
        <c:crossAx val="7196672"/>
        <c:crosses val="autoZero"/>
        <c:auto val="1"/>
        <c:lblAlgn val="ctr"/>
        <c:lblOffset val="100"/>
      </c:catAx>
      <c:valAx>
        <c:axId val="7196672"/>
        <c:scaling>
          <c:orientation val="minMax"/>
          <c:max val="20"/>
          <c:min val="0"/>
        </c:scaling>
        <c:axPos val="l"/>
        <c:majorGridlines/>
        <c:numFmt formatCode="0.0" sourceLinked="1"/>
        <c:tickLblPos val="nextTo"/>
        <c:crossAx val="7190784"/>
        <c:crosses val="autoZero"/>
        <c:crossBetween val="between"/>
        <c:majorUnit val="5"/>
        <c:minorUnit val="1"/>
      </c:valAx>
    </c:plotArea>
    <c:legend>
      <c:legendPos val="r"/>
      <c:layout>
        <c:manualLayout>
          <c:xMode val="edge"/>
          <c:yMode val="edge"/>
          <c:x val="0.75210648148148163"/>
          <c:y val="0.11111682468262897"/>
          <c:w val="0.22474537037037554"/>
          <c:h val="0.69613369757353905"/>
        </c:manualLayout>
      </c:layout>
      <c:spPr>
        <a:ln>
          <a:solidFill>
            <a:srgbClr val="4F81BD"/>
          </a:solidFill>
        </a:ln>
      </c:sp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2647017488225284E-2"/>
          <c:y val="9.6822387666193749E-2"/>
          <c:w val="0.90042720566772727"/>
          <c:h val="0.63785491099326874"/>
        </c:manualLayout>
      </c:layout>
      <c:barChart>
        <c:barDir val="col"/>
        <c:grouping val="clustered"/>
        <c:ser>
          <c:idx val="1"/>
          <c:order val="0"/>
          <c:tx>
            <c:strRef>
              <c:f>Sheet1!$A$3</c:f>
              <c:strCache>
                <c:ptCount val="1"/>
                <c:pt idx="0">
                  <c:v>2014</c:v>
                </c:pt>
              </c:strCache>
            </c:strRef>
          </c:tx>
          <c:spPr>
            <a:solidFill>
              <a:schemeClr val="tx1">
                <a:lumMod val="75000"/>
                <a:lumOff val="25000"/>
              </a:schemeClr>
            </a:solidFill>
            <a:ln w="12700">
              <a:noFill/>
              <a:prstDash val="solid"/>
            </a:ln>
          </c:spPr>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Sheet1!$B$1:$N$2</c:f>
              <c:multiLvlStrCache>
                <c:ptCount val="13"/>
                <c:lvl>
                  <c:pt idx="0">
                    <c:v>West Bank</c:v>
                  </c:pt>
                  <c:pt idx="1">
                    <c:v>Gaza Strip</c:v>
                  </c:pt>
                  <c:pt idx="2">
                    <c:v>Male</c:v>
                  </c:pt>
                  <c:pt idx="3">
                    <c:v>Female</c:v>
                  </c:pt>
                  <c:pt idx="4">
                    <c:v>Urban</c:v>
                  </c:pt>
                  <c:pt idx="5">
                    <c:v>Rural</c:v>
                  </c:pt>
                  <c:pt idx="6">
                    <c:v>Camp</c:v>
                  </c:pt>
                  <c:pt idx="7">
                    <c:v>36-47 months</c:v>
                  </c:pt>
                  <c:pt idx="8">
                    <c:v>48-59 months</c:v>
                  </c:pt>
                  <c:pt idx="9">
                    <c:v>none</c:v>
                  </c:pt>
                  <c:pt idx="10">
                    <c:v>basic</c:v>
                  </c:pt>
                  <c:pt idx="11">
                    <c:v>secondary</c:v>
                  </c:pt>
                  <c:pt idx="12">
                    <c:v>higher</c:v>
                  </c:pt>
                </c:lvl>
                <c:lvl>
                  <c:pt idx="0">
                    <c:v>Region</c:v>
                  </c:pt>
                  <c:pt idx="2">
                    <c:v>Sex</c:v>
                  </c:pt>
                  <c:pt idx="4">
                    <c:v>Type of Locality</c:v>
                  </c:pt>
                  <c:pt idx="7">
                    <c:v>Age</c:v>
                  </c:pt>
                  <c:pt idx="9">
                    <c:v>Mother's Education</c:v>
                  </c:pt>
                </c:lvl>
              </c:multiLvlStrCache>
            </c:multiLvlStrRef>
          </c:cat>
          <c:val>
            <c:numRef>
              <c:f>Sheet1!$B$3:$N$3</c:f>
              <c:numCache>
                <c:formatCode>####.0</c:formatCode>
                <c:ptCount val="13"/>
                <c:pt idx="0">
                  <c:v>27.212575463319634</c:v>
                </c:pt>
                <c:pt idx="1">
                  <c:v>25.462212497570011</c:v>
                </c:pt>
                <c:pt idx="2">
                  <c:v>27.180051126980132</c:v>
                </c:pt>
                <c:pt idx="3">
                  <c:v>25.563641539331762</c:v>
                </c:pt>
                <c:pt idx="4">
                  <c:v>25.679325944229706</c:v>
                </c:pt>
                <c:pt idx="5">
                  <c:v>31.010798329358831</c:v>
                </c:pt>
                <c:pt idx="6">
                  <c:v>24.573378673570886</c:v>
                </c:pt>
                <c:pt idx="7">
                  <c:v>8.2476525429524639</c:v>
                </c:pt>
                <c:pt idx="8">
                  <c:v>45.464724054057193</c:v>
                </c:pt>
                <c:pt idx="9">
                  <c:v>21.664617440964829</c:v>
                </c:pt>
                <c:pt idx="10">
                  <c:v>19.233715291049826</c:v>
                </c:pt>
                <c:pt idx="11">
                  <c:v>24.700559089145017</c:v>
                </c:pt>
                <c:pt idx="12">
                  <c:v>35.7341500843416</c:v>
                </c:pt>
              </c:numCache>
            </c:numRef>
          </c:val>
        </c:ser>
        <c:dLbls>
          <c:showVal val="1"/>
        </c:dLbls>
        <c:axId val="198548480"/>
        <c:axId val="198562560"/>
      </c:barChart>
      <c:catAx>
        <c:axId val="198548480"/>
        <c:scaling>
          <c:orientation val="minMax"/>
        </c:scaling>
        <c:axPos val="b"/>
        <c:numFmt formatCode="#,##0.0" sourceLinked="0"/>
        <c:tickLblPos val="nextTo"/>
        <c:spPr>
          <a:ln w="3175">
            <a:solidFill>
              <a:srgbClr val="000000"/>
            </a:solidFill>
            <a:prstDash val="solid"/>
          </a:ln>
        </c:spPr>
        <c:txPr>
          <a:bodyPr rot="0" vert="horz"/>
          <a:lstStyle/>
          <a:p>
            <a:pPr>
              <a:defRPr sz="700" b="0" i="0" u="none" strike="noStrike" baseline="0">
                <a:solidFill>
                  <a:srgbClr val="000000"/>
                </a:solidFill>
                <a:latin typeface="Arial" pitchFamily="34" charset="0"/>
                <a:ea typeface="Times New Roman"/>
                <a:cs typeface="Arial" pitchFamily="34" charset="0"/>
              </a:defRPr>
            </a:pPr>
            <a:endParaRPr lang="en-US"/>
          </a:p>
        </c:txPr>
        <c:crossAx val="198562560"/>
        <c:crosses val="autoZero"/>
        <c:auto val="1"/>
        <c:lblAlgn val="ctr"/>
        <c:lblOffset val="100"/>
        <c:tickLblSkip val="1"/>
        <c:tickMarkSkip val="1"/>
      </c:catAx>
      <c:valAx>
        <c:axId val="198562560"/>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98548480"/>
        <c:crosses val="autoZero"/>
        <c:crossBetween val="between"/>
      </c:valAx>
      <c:spPr>
        <a:noFill/>
        <a:ln w="25400">
          <a:noFill/>
        </a:ln>
      </c:spPr>
    </c:plotArea>
    <c:plotVisOnly val="1"/>
    <c:dispBlanksAs val="gap"/>
  </c:chart>
  <c:spPr>
    <a:noFill/>
    <a:ln w="3175">
      <a:solidFill>
        <a:srgbClr val="000000"/>
      </a:solidFill>
      <a:prstDash val="solid"/>
    </a:ln>
    <a:effectLst>
      <a:outerShdw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strRef>
              <c:f>Sheet1!$B$1</c:f>
              <c:strCache>
                <c:ptCount val="1"/>
                <c:pt idx="0">
                  <c:v>West Bank</c:v>
                </c:pt>
              </c:strCache>
            </c:strRef>
          </c:tx>
          <c:dLbls>
            <c:dLbl>
              <c:idx val="0"/>
              <c:layout>
                <c:manualLayout>
                  <c:x val="-7.5845878217169677E-2"/>
                  <c:y val="-2.6374763408217611E-2"/>
                </c:manualLayout>
              </c:layout>
              <c:dLblPos val="r"/>
              <c:showVal val="1"/>
            </c:dLbl>
            <c:dLbl>
              <c:idx val="1"/>
              <c:layout>
                <c:manualLayout>
                  <c:x val="-4.0535426010527113E-2"/>
                  <c:y val="8.2916845739880549E-2"/>
                </c:manualLayout>
              </c:layout>
              <c:dLblPos val="r"/>
              <c:showVal val="1"/>
            </c:dLbl>
            <c:dLbl>
              <c:idx val="2"/>
              <c:layout>
                <c:manualLayout>
                  <c:x val="-5.2249738038845804E-3"/>
                  <c:y val="-7.0880088526709814E-3"/>
                </c:manualLayout>
              </c:layout>
              <c:dLblPos val="r"/>
              <c:showVal val="1"/>
            </c:dLbl>
            <c:spPr>
              <a:noFill/>
              <a:ln>
                <a:noFill/>
              </a:ln>
              <a:effectLst/>
            </c:spPr>
            <c:dLblPos val="t"/>
            <c:showVal val="1"/>
            <c:extLst>
              <c:ext xmlns:c15="http://schemas.microsoft.com/office/drawing/2012/chart" uri="{CE6537A1-D6FC-4f65-9D91-7224C49458BB}">
                <c15:showLeaderLines val="0"/>
              </c:ext>
            </c:extLst>
          </c:dLbls>
          <c:cat>
            <c:numRef>
              <c:f>Sheet1!$A$2:$A$4</c:f>
              <c:numCache>
                <c:formatCode>General</c:formatCode>
                <c:ptCount val="3"/>
                <c:pt idx="0">
                  <c:v>2009</c:v>
                </c:pt>
                <c:pt idx="1">
                  <c:v>2010</c:v>
                </c:pt>
                <c:pt idx="2">
                  <c:v>2011</c:v>
                </c:pt>
              </c:numCache>
            </c:numRef>
          </c:cat>
          <c:val>
            <c:numRef>
              <c:f>Sheet1!$B$2:$B$4</c:f>
              <c:numCache>
                <c:formatCode>General</c:formatCode>
                <c:ptCount val="3"/>
                <c:pt idx="0">
                  <c:v>19.899999999999999</c:v>
                </c:pt>
                <c:pt idx="1">
                  <c:v>18.3</c:v>
                </c:pt>
                <c:pt idx="2">
                  <c:v>17.8</c:v>
                </c:pt>
              </c:numCache>
            </c:numRef>
          </c:val>
        </c:ser>
        <c:ser>
          <c:idx val="1"/>
          <c:order val="1"/>
          <c:tx>
            <c:strRef>
              <c:f>Sheet1!$C$1</c:f>
              <c:strCache>
                <c:ptCount val="1"/>
                <c:pt idx="0">
                  <c:v>Gaza Strip</c:v>
                </c:pt>
              </c:strCache>
            </c:strRef>
          </c:tx>
          <c:dLbls>
            <c:dLbl>
              <c:idx val="0"/>
              <c:layout>
                <c:manualLayout>
                  <c:x val="-5.3236539624924403E-2"/>
                  <c:y val="-8.8888888888889767E-2"/>
                </c:manualLayout>
              </c:layout>
              <c:showVal val="1"/>
            </c:dLbl>
            <c:dLbl>
              <c:idx val="1"/>
              <c:dLblPos val="t"/>
              <c:showVal val="1"/>
            </c:dLbl>
            <c:dLbl>
              <c:idx val="2"/>
              <c:layout>
                <c:manualLayout>
                  <c:x val="-7.2595281306719736E-3"/>
                  <c:y val="-8.2051282051282065E-2"/>
                </c:manualLayout>
              </c:layout>
              <c:showVal val="1"/>
            </c:dLbl>
            <c:spPr>
              <a:noFill/>
              <a:ln>
                <a:noFill/>
              </a:ln>
              <a:effectLst/>
            </c:spPr>
            <c:showVal val="1"/>
            <c:extLst>
              <c:ext xmlns:c15="http://schemas.microsoft.com/office/drawing/2012/chart" uri="{CE6537A1-D6FC-4f65-9D91-7224C49458BB}">
                <c15:showLeaderLines val="0"/>
              </c:ext>
            </c:extLst>
          </c:dLbls>
          <c:cat>
            <c:numRef>
              <c:f>Sheet1!$A$2:$A$4</c:f>
              <c:numCache>
                <c:formatCode>General</c:formatCode>
                <c:ptCount val="3"/>
                <c:pt idx="0">
                  <c:v>2009</c:v>
                </c:pt>
                <c:pt idx="1">
                  <c:v>2010</c:v>
                </c:pt>
                <c:pt idx="2">
                  <c:v>2011</c:v>
                </c:pt>
              </c:numCache>
            </c:numRef>
          </c:cat>
          <c:val>
            <c:numRef>
              <c:f>Sheet1!$C$2:$C$4</c:f>
              <c:numCache>
                <c:formatCode>0.0</c:formatCode>
                <c:ptCount val="3"/>
                <c:pt idx="0" formatCode="General">
                  <c:v>38.300000000000004</c:v>
                </c:pt>
                <c:pt idx="1">
                  <c:v>38</c:v>
                </c:pt>
                <c:pt idx="2" formatCode="General">
                  <c:v>38.800000000000004</c:v>
                </c:pt>
              </c:numCache>
            </c:numRef>
          </c:val>
        </c:ser>
        <c:ser>
          <c:idx val="2"/>
          <c:order val="2"/>
          <c:tx>
            <c:strRef>
              <c:f>Sheet1!$D$1</c:f>
              <c:strCache>
                <c:ptCount val="1"/>
                <c:pt idx="0">
                  <c:v>Palestine</c:v>
                </c:pt>
              </c:strCache>
            </c:strRef>
          </c:tx>
          <c:dLbls>
            <c:dLbl>
              <c:idx val="0"/>
              <c:layout>
                <c:manualLayout>
                  <c:x val="-7.5845878217169677E-2"/>
                  <c:y val="-3.280368159339981E-2"/>
                </c:manualLayout>
              </c:layout>
              <c:dLblPos val="r"/>
              <c:showVal val="1"/>
            </c:dLbl>
            <c:dLbl>
              <c:idx val="2"/>
              <c:layout>
                <c:manualLayout>
                  <c:x val="-9.6387803297149043E-3"/>
                  <c:y val="-5.2090436148946977E-2"/>
                </c:manualLayout>
              </c:layout>
              <c:dLblPos val="r"/>
              <c:showVal val="1"/>
            </c:dLbl>
            <c:spPr>
              <a:noFill/>
              <a:ln>
                <a:noFill/>
              </a:ln>
              <a:effectLst/>
            </c:spPr>
            <c:dLblPos val="t"/>
            <c:showVal val="1"/>
            <c:extLst>
              <c:ext xmlns:c15="http://schemas.microsoft.com/office/drawing/2012/chart" uri="{CE6537A1-D6FC-4f65-9D91-7224C49458BB}">
                <c15:showLeaderLines val="0"/>
              </c:ext>
            </c:extLst>
          </c:dLbls>
          <c:cat>
            <c:numRef>
              <c:f>Sheet1!$A$2:$A$4</c:f>
              <c:numCache>
                <c:formatCode>General</c:formatCode>
                <c:ptCount val="3"/>
                <c:pt idx="0">
                  <c:v>2009</c:v>
                </c:pt>
                <c:pt idx="1">
                  <c:v>2010</c:v>
                </c:pt>
                <c:pt idx="2">
                  <c:v>2011</c:v>
                </c:pt>
              </c:numCache>
            </c:numRef>
          </c:cat>
          <c:val>
            <c:numRef>
              <c:f>Sheet1!$D$2:$D$4</c:f>
              <c:numCache>
                <c:formatCode>General</c:formatCode>
                <c:ptCount val="3"/>
                <c:pt idx="0">
                  <c:v>28.2</c:v>
                </c:pt>
                <c:pt idx="1">
                  <c:v>25.7</c:v>
                </c:pt>
                <c:pt idx="2">
                  <c:v>25.8</c:v>
                </c:pt>
              </c:numCache>
            </c:numRef>
          </c:val>
        </c:ser>
        <c:marker val="1"/>
        <c:axId val="191096704"/>
        <c:axId val="191098240"/>
      </c:lineChart>
      <c:catAx>
        <c:axId val="191096704"/>
        <c:scaling>
          <c:orientation val="minMax"/>
        </c:scaling>
        <c:axPos val="b"/>
        <c:numFmt formatCode="General" sourceLinked="1"/>
        <c:majorTickMark val="none"/>
        <c:tickLblPos val="nextTo"/>
        <c:crossAx val="191098240"/>
        <c:crosses val="autoZero"/>
        <c:auto val="1"/>
        <c:lblAlgn val="ctr"/>
        <c:lblOffset val="100"/>
      </c:catAx>
      <c:valAx>
        <c:axId val="191098240"/>
        <c:scaling>
          <c:orientation val="minMax"/>
        </c:scaling>
        <c:axPos val="l"/>
        <c:majorGridlines/>
        <c:numFmt formatCode="General" sourceLinked="1"/>
        <c:majorTickMark val="none"/>
        <c:tickLblPos val="nextTo"/>
        <c:crossAx val="191096704"/>
        <c:crosses val="autoZero"/>
        <c:crossBetween val="between"/>
      </c:valAx>
    </c:plotArea>
    <c:legend>
      <c:legendPos val="r"/>
      <c:spPr>
        <a:noFill/>
        <a:ln>
          <a:solidFill>
            <a:srgbClr val="4F81BD"/>
          </a:solidFill>
        </a:ln>
      </c:spPr>
    </c:legend>
    <c:plotVisOnly val="1"/>
    <c:dispBlanksAs val="gap"/>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Sheet1!$B$1</c:f>
              <c:strCache>
                <c:ptCount val="1"/>
                <c:pt idx="0">
                  <c:v>0</c:v>
                </c:pt>
              </c:strCache>
            </c:strRef>
          </c:tx>
          <c:dLbls>
            <c:spPr>
              <a:noFill/>
              <a:ln>
                <a:noFill/>
              </a:ln>
              <a:effectLst/>
            </c:spPr>
            <c:showVal val="1"/>
            <c:extLst>
              <c:ext xmlns:c15="http://schemas.microsoft.com/office/drawing/2012/chart" uri="{CE6537A1-D6FC-4f65-9D91-7224C49458BB}">
                <c15:showLeaderLines val="0"/>
              </c:ext>
            </c:extLst>
          </c:dLbls>
          <c:cat>
            <c:numRef>
              <c:f>Sheet1!$A$2</c:f>
              <c:numCache>
                <c:formatCode>General</c:formatCode>
                <c:ptCount val="1"/>
                <c:pt idx="0">
                  <c:v>2011</c:v>
                </c:pt>
              </c:numCache>
            </c:numRef>
          </c:cat>
          <c:val>
            <c:numRef>
              <c:f>Sheet1!$B$2</c:f>
              <c:numCache>
                <c:formatCode>General</c:formatCode>
                <c:ptCount val="1"/>
                <c:pt idx="0">
                  <c:v>15.8</c:v>
                </c:pt>
              </c:numCache>
            </c:numRef>
          </c:val>
        </c:ser>
        <c:ser>
          <c:idx val="1"/>
          <c:order val="1"/>
          <c:tx>
            <c:strRef>
              <c:f>Sheet1!$C$1</c:f>
              <c:strCache>
                <c:ptCount val="1"/>
                <c:pt idx="0">
                  <c:v>1-2</c:v>
                </c:pt>
              </c:strCache>
            </c:strRef>
          </c:tx>
          <c:dLbls>
            <c:spPr>
              <a:noFill/>
              <a:ln>
                <a:noFill/>
              </a:ln>
              <a:effectLst/>
            </c:spPr>
            <c:showVal val="1"/>
            <c:extLst>
              <c:ext xmlns:c15="http://schemas.microsoft.com/office/drawing/2012/chart" uri="{CE6537A1-D6FC-4f65-9D91-7224C49458BB}">
                <c15:showLeaderLines val="0"/>
              </c:ext>
            </c:extLst>
          </c:dLbls>
          <c:cat>
            <c:numRef>
              <c:f>Sheet1!$A$2</c:f>
              <c:numCache>
                <c:formatCode>General</c:formatCode>
                <c:ptCount val="1"/>
                <c:pt idx="0">
                  <c:v>2011</c:v>
                </c:pt>
              </c:numCache>
            </c:numRef>
          </c:cat>
          <c:val>
            <c:numRef>
              <c:f>Sheet1!$C$2</c:f>
              <c:numCache>
                <c:formatCode>General</c:formatCode>
                <c:ptCount val="1"/>
                <c:pt idx="0">
                  <c:v>18.3</c:v>
                </c:pt>
              </c:numCache>
            </c:numRef>
          </c:val>
        </c:ser>
        <c:ser>
          <c:idx val="2"/>
          <c:order val="2"/>
          <c:tx>
            <c:strRef>
              <c:f>Sheet1!$D$1</c:f>
              <c:strCache>
                <c:ptCount val="1"/>
                <c:pt idx="0">
                  <c:v>3-4</c:v>
                </c:pt>
              </c:strCache>
            </c:strRef>
          </c:tx>
          <c:dLbls>
            <c:spPr>
              <a:noFill/>
              <a:ln>
                <a:noFill/>
              </a:ln>
              <a:effectLst/>
            </c:spPr>
            <c:showVal val="1"/>
            <c:extLst>
              <c:ext xmlns:c15="http://schemas.microsoft.com/office/drawing/2012/chart" uri="{CE6537A1-D6FC-4f65-9D91-7224C49458BB}">
                <c15:showLeaderLines val="0"/>
              </c:ext>
            </c:extLst>
          </c:dLbls>
          <c:cat>
            <c:numRef>
              <c:f>Sheet1!$A$2</c:f>
              <c:numCache>
                <c:formatCode>General</c:formatCode>
                <c:ptCount val="1"/>
                <c:pt idx="0">
                  <c:v>2011</c:v>
                </c:pt>
              </c:numCache>
            </c:numRef>
          </c:cat>
          <c:val>
            <c:numRef>
              <c:f>Sheet1!$D$2</c:f>
              <c:numCache>
                <c:formatCode>0.0</c:formatCode>
                <c:ptCount val="1"/>
                <c:pt idx="0">
                  <c:v>23</c:v>
                </c:pt>
              </c:numCache>
            </c:numRef>
          </c:val>
        </c:ser>
        <c:ser>
          <c:idx val="3"/>
          <c:order val="3"/>
          <c:tx>
            <c:strRef>
              <c:f>Sheet1!$E$1</c:f>
              <c:strCache>
                <c:ptCount val="1"/>
                <c:pt idx="0">
                  <c:v>5-6</c:v>
                </c:pt>
              </c:strCache>
            </c:strRef>
          </c:tx>
          <c:dLbls>
            <c:spPr>
              <a:noFill/>
              <a:ln>
                <a:noFill/>
              </a:ln>
              <a:effectLst/>
            </c:spPr>
            <c:showVal val="1"/>
            <c:extLst>
              <c:ext xmlns:c15="http://schemas.microsoft.com/office/drawing/2012/chart" uri="{CE6537A1-D6FC-4f65-9D91-7224C49458BB}">
                <c15:showLeaderLines val="0"/>
              </c:ext>
            </c:extLst>
          </c:dLbls>
          <c:cat>
            <c:numRef>
              <c:f>Sheet1!$A$2</c:f>
              <c:numCache>
                <c:formatCode>General</c:formatCode>
                <c:ptCount val="1"/>
                <c:pt idx="0">
                  <c:v>2011</c:v>
                </c:pt>
              </c:numCache>
            </c:numRef>
          </c:cat>
          <c:val>
            <c:numRef>
              <c:f>Sheet1!$E$2</c:f>
              <c:numCache>
                <c:formatCode>General</c:formatCode>
                <c:ptCount val="1"/>
                <c:pt idx="0">
                  <c:v>32.6</c:v>
                </c:pt>
              </c:numCache>
            </c:numRef>
          </c:val>
        </c:ser>
        <c:ser>
          <c:idx val="4"/>
          <c:order val="4"/>
          <c:tx>
            <c:strRef>
              <c:f>Sheet1!$F$1</c:f>
              <c:strCache>
                <c:ptCount val="1"/>
                <c:pt idx="0">
                  <c:v>7-8</c:v>
                </c:pt>
              </c:strCache>
            </c:strRef>
          </c:tx>
          <c:dLbls>
            <c:spPr>
              <a:noFill/>
              <a:ln>
                <a:noFill/>
              </a:ln>
              <a:effectLst/>
            </c:spPr>
            <c:showVal val="1"/>
            <c:extLst>
              <c:ext xmlns:c15="http://schemas.microsoft.com/office/drawing/2012/chart" uri="{CE6537A1-D6FC-4f65-9D91-7224C49458BB}">
                <c15:showLeaderLines val="0"/>
              </c:ext>
            </c:extLst>
          </c:dLbls>
          <c:cat>
            <c:numRef>
              <c:f>Sheet1!$A$2</c:f>
              <c:numCache>
                <c:formatCode>General</c:formatCode>
                <c:ptCount val="1"/>
                <c:pt idx="0">
                  <c:v>2011</c:v>
                </c:pt>
              </c:numCache>
            </c:numRef>
          </c:cat>
          <c:val>
            <c:numRef>
              <c:f>Sheet1!$F$2</c:f>
              <c:numCache>
                <c:formatCode>General</c:formatCode>
                <c:ptCount val="1"/>
                <c:pt idx="0">
                  <c:v>43.7</c:v>
                </c:pt>
              </c:numCache>
            </c:numRef>
          </c:val>
        </c:ser>
        <c:ser>
          <c:idx val="5"/>
          <c:order val="5"/>
          <c:tx>
            <c:strRef>
              <c:f>Sheet1!$G$1</c:f>
              <c:strCache>
                <c:ptCount val="1"/>
                <c:pt idx="0">
                  <c:v>9+</c:v>
                </c:pt>
              </c:strCache>
            </c:strRef>
          </c:tx>
          <c:dLbls>
            <c:spPr>
              <a:noFill/>
              <a:ln>
                <a:noFill/>
              </a:ln>
              <a:effectLst/>
            </c:spPr>
            <c:showVal val="1"/>
            <c:extLst>
              <c:ext xmlns:c15="http://schemas.microsoft.com/office/drawing/2012/chart" uri="{CE6537A1-D6FC-4f65-9D91-7224C49458BB}">
                <c15:showLeaderLines val="0"/>
              </c:ext>
            </c:extLst>
          </c:dLbls>
          <c:cat>
            <c:numRef>
              <c:f>Sheet1!$A$2</c:f>
              <c:numCache>
                <c:formatCode>General</c:formatCode>
                <c:ptCount val="1"/>
                <c:pt idx="0">
                  <c:v>2011</c:v>
                </c:pt>
              </c:numCache>
            </c:numRef>
          </c:cat>
          <c:val>
            <c:numRef>
              <c:f>Sheet1!$G$2</c:f>
              <c:numCache>
                <c:formatCode>General</c:formatCode>
                <c:ptCount val="1"/>
                <c:pt idx="0">
                  <c:v>56.5</c:v>
                </c:pt>
              </c:numCache>
            </c:numRef>
          </c:val>
        </c:ser>
        <c:dLbls>
          <c:showVal val="1"/>
        </c:dLbls>
        <c:gapWidth val="212"/>
        <c:overlap val="-100"/>
        <c:axId val="158667904"/>
        <c:axId val="158669440"/>
      </c:barChart>
      <c:catAx>
        <c:axId val="158667904"/>
        <c:scaling>
          <c:orientation val="minMax"/>
        </c:scaling>
        <c:delete val="1"/>
        <c:axPos val="b"/>
        <c:numFmt formatCode="General" sourceLinked="1"/>
        <c:tickLblPos val="none"/>
        <c:crossAx val="158669440"/>
        <c:crosses val="autoZero"/>
        <c:auto val="1"/>
        <c:lblAlgn val="ctr"/>
        <c:lblOffset val="100"/>
      </c:catAx>
      <c:valAx>
        <c:axId val="158669440"/>
        <c:scaling>
          <c:orientation val="minMax"/>
        </c:scaling>
        <c:axPos val="l"/>
        <c:majorGridlines/>
        <c:numFmt formatCode="General" sourceLinked="1"/>
        <c:tickLblPos val="nextTo"/>
        <c:crossAx val="158667904"/>
        <c:crosses val="autoZero"/>
        <c:crossBetween val="between"/>
      </c:valAx>
    </c:plotArea>
    <c:legend>
      <c:legendPos val="b"/>
      <c:layout>
        <c:manualLayout>
          <c:xMode val="edge"/>
          <c:yMode val="edge"/>
          <c:x val="6.1871337488202185E-2"/>
          <c:y val="0.81973186418932065"/>
          <c:w val="0.91560123731276499"/>
          <c:h val="0.15645893923478371"/>
        </c:manualLayout>
      </c:layout>
    </c:legend>
    <c:plotVisOnly val="1"/>
    <c:dispBlanksAs val="gap"/>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5959595959601268E-2"/>
          <c:y val="0.15467613866878627"/>
          <c:w val="0.87542087542090063"/>
          <c:h val="0.53499499309574261"/>
        </c:manualLayout>
      </c:layout>
      <c:barChart>
        <c:barDir val="col"/>
        <c:grouping val="clustered"/>
        <c:ser>
          <c:idx val="1"/>
          <c:order val="0"/>
          <c:tx>
            <c:strRef>
              <c:f>Sheet1!$A$3</c:f>
              <c:strCache>
                <c:ptCount val="1"/>
                <c:pt idx="0">
                  <c:v>West Bank</c:v>
                </c:pt>
              </c:strCache>
            </c:strRef>
          </c:tx>
          <c:spPr>
            <a:solidFill>
              <a:schemeClr val="bg2">
                <a:lumMod val="75000"/>
              </a:schemeClr>
            </a:solidFill>
            <a:effectLst/>
          </c:spPr>
          <c:dLbls>
            <c:spPr>
              <a:noFill/>
              <a:ln>
                <a:noFill/>
              </a:ln>
              <a:effectLst/>
            </c:spPr>
            <c:txPr>
              <a:bodyPr/>
              <a:lstStyle/>
              <a:p>
                <a:pPr>
                  <a:defRPr sz="8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Poverty</c:v>
                  </c:pt>
                  <c:pt idx="1">
                    <c:v>Deep poverty</c:v>
                  </c:pt>
                  <c:pt idx="2">
                    <c:v>Poverty</c:v>
                  </c:pt>
                  <c:pt idx="3">
                    <c:v>Deep poverty</c:v>
                  </c:pt>
                  <c:pt idx="4">
                    <c:v>Poverty</c:v>
                  </c:pt>
                  <c:pt idx="5">
                    <c:v>Deep poverty</c:v>
                  </c:pt>
                </c:lvl>
                <c:lvl>
                  <c:pt idx="0">
                    <c:v>2009</c:v>
                  </c:pt>
                  <c:pt idx="2">
                    <c:v>2010</c:v>
                  </c:pt>
                  <c:pt idx="4">
                    <c:v>2011</c:v>
                  </c:pt>
                </c:lvl>
              </c:multiLvlStrCache>
            </c:multiLvlStrRef>
          </c:cat>
          <c:val>
            <c:numRef>
              <c:f>Sheet1!$B$3:$G$3</c:f>
              <c:numCache>
                <c:formatCode>0.0</c:formatCode>
                <c:ptCount val="6"/>
                <c:pt idx="0">
                  <c:v>20</c:v>
                </c:pt>
                <c:pt idx="1">
                  <c:v>9.4</c:v>
                </c:pt>
                <c:pt idx="2">
                  <c:v>19</c:v>
                </c:pt>
                <c:pt idx="3">
                  <c:v>8.9</c:v>
                </c:pt>
                <c:pt idx="4">
                  <c:v>18.399999999999999</c:v>
                </c:pt>
                <c:pt idx="5">
                  <c:v>8.2000000000000011</c:v>
                </c:pt>
              </c:numCache>
            </c:numRef>
          </c:val>
        </c:ser>
        <c:ser>
          <c:idx val="3"/>
          <c:order val="1"/>
          <c:tx>
            <c:strRef>
              <c:f>Sheet1!$A$4</c:f>
              <c:strCache>
                <c:ptCount val="1"/>
                <c:pt idx="0">
                  <c:v>Gaza Strip</c:v>
                </c:pt>
              </c:strCache>
            </c:strRef>
          </c:tx>
          <c:spPr>
            <a:solidFill>
              <a:srgbClr val="F79646">
                <a:lumMod val="40000"/>
                <a:lumOff val="60000"/>
              </a:srgbClr>
            </a:solidFill>
            <a:effectLst/>
          </c:spPr>
          <c:dPt>
            <c:idx val="0"/>
            <c:spPr>
              <a:solidFill>
                <a:schemeClr val="tx2">
                  <a:lumMod val="60000"/>
                  <a:lumOff val="40000"/>
                </a:schemeClr>
              </a:solidFill>
              <a:effectLst/>
            </c:spPr>
          </c:dPt>
          <c:dPt>
            <c:idx val="1"/>
            <c:spPr>
              <a:solidFill>
                <a:schemeClr val="tx2">
                  <a:lumMod val="60000"/>
                  <a:lumOff val="40000"/>
                </a:schemeClr>
              </a:solidFill>
              <a:effectLst/>
            </c:spPr>
          </c:dPt>
          <c:dPt>
            <c:idx val="2"/>
            <c:spPr>
              <a:solidFill>
                <a:schemeClr val="tx2">
                  <a:lumMod val="60000"/>
                  <a:lumOff val="40000"/>
                </a:schemeClr>
              </a:solidFill>
              <a:effectLst/>
            </c:spPr>
          </c:dPt>
          <c:dPt>
            <c:idx val="3"/>
            <c:spPr>
              <a:solidFill>
                <a:schemeClr val="tx2">
                  <a:lumMod val="60000"/>
                  <a:lumOff val="40000"/>
                </a:schemeClr>
              </a:solidFill>
              <a:effectLst/>
            </c:spPr>
          </c:dPt>
          <c:dPt>
            <c:idx val="4"/>
            <c:spPr>
              <a:solidFill>
                <a:schemeClr val="tx2">
                  <a:lumMod val="60000"/>
                  <a:lumOff val="40000"/>
                </a:schemeClr>
              </a:solidFill>
              <a:effectLst/>
            </c:spPr>
          </c:dPt>
          <c:dPt>
            <c:idx val="5"/>
            <c:spPr>
              <a:solidFill>
                <a:schemeClr val="tx2">
                  <a:lumMod val="60000"/>
                  <a:lumOff val="40000"/>
                </a:schemeClr>
              </a:solidFill>
              <a:effectLst/>
            </c:spPr>
          </c:dPt>
          <c:dLbls>
            <c:spPr>
              <a:noFill/>
              <a:ln>
                <a:noFill/>
              </a:ln>
              <a:effectLst/>
            </c:spPr>
            <c:txPr>
              <a:bodyPr/>
              <a:lstStyle/>
              <a:p>
                <a:pPr>
                  <a:defRPr sz="8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Poverty</c:v>
                  </c:pt>
                  <c:pt idx="1">
                    <c:v>Deep poverty</c:v>
                  </c:pt>
                  <c:pt idx="2">
                    <c:v>Poverty</c:v>
                  </c:pt>
                  <c:pt idx="3">
                    <c:v>Deep poverty</c:v>
                  </c:pt>
                  <c:pt idx="4">
                    <c:v>Poverty</c:v>
                  </c:pt>
                  <c:pt idx="5">
                    <c:v>Deep poverty</c:v>
                  </c:pt>
                </c:lvl>
                <c:lvl>
                  <c:pt idx="0">
                    <c:v>2009</c:v>
                  </c:pt>
                  <c:pt idx="2">
                    <c:v>2010</c:v>
                  </c:pt>
                  <c:pt idx="4">
                    <c:v>2011</c:v>
                  </c:pt>
                </c:lvl>
              </c:multiLvlStrCache>
            </c:multiLvlStrRef>
          </c:cat>
          <c:val>
            <c:numRef>
              <c:f>Sheet1!$B$4:$G$4</c:f>
              <c:numCache>
                <c:formatCode>0.0</c:formatCode>
                <c:ptCount val="6"/>
                <c:pt idx="0">
                  <c:v>38.9</c:v>
                </c:pt>
                <c:pt idx="1">
                  <c:v>21.8</c:v>
                </c:pt>
                <c:pt idx="2">
                  <c:v>38.5</c:v>
                </c:pt>
                <c:pt idx="3">
                  <c:v>23.1</c:v>
                </c:pt>
                <c:pt idx="4">
                  <c:v>39.300000000000004</c:v>
                </c:pt>
                <c:pt idx="5">
                  <c:v>21.9</c:v>
                </c:pt>
              </c:numCache>
            </c:numRef>
          </c:val>
        </c:ser>
        <c:ser>
          <c:idx val="0"/>
          <c:order val="2"/>
          <c:tx>
            <c:strRef>
              <c:f>Sheet1!$A$5</c:f>
              <c:strCache>
                <c:ptCount val="1"/>
                <c:pt idx="0">
                  <c:v>Palestine</c:v>
                </c:pt>
              </c:strCache>
            </c:strRef>
          </c:tx>
          <c:spPr>
            <a:solidFill>
              <a:schemeClr val="accent5">
                <a:lumMod val="40000"/>
                <a:lumOff val="60000"/>
              </a:schemeClr>
            </a:solidFill>
            <a:effectLst/>
          </c:spPr>
          <c:dLbls>
            <c:spPr>
              <a:noFill/>
              <a:ln>
                <a:noFill/>
              </a:ln>
              <a:effectLst/>
            </c:spPr>
            <c:txPr>
              <a:bodyPr/>
              <a:lstStyle/>
              <a:p>
                <a:pPr>
                  <a:defRPr sz="8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Poverty</c:v>
                  </c:pt>
                  <c:pt idx="1">
                    <c:v>Deep poverty</c:v>
                  </c:pt>
                  <c:pt idx="2">
                    <c:v>Poverty</c:v>
                  </c:pt>
                  <c:pt idx="3">
                    <c:v>Deep poverty</c:v>
                  </c:pt>
                  <c:pt idx="4">
                    <c:v>Poverty</c:v>
                  </c:pt>
                  <c:pt idx="5">
                    <c:v>Deep poverty</c:v>
                  </c:pt>
                </c:lvl>
                <c:lvl>
                  <c:pt idx="0">
                    <c:v>2009</c:v>
                  </c:pt>
                  <c:pt idx="2">
                    <c:v>2010</c:v>
                  </c:pt>
                  <c:pt idx="4">
                    <c:v>2011</c:v>
                  </c:pt>
                </c:lvl>
              </c:multiLvlStrCache>
            </c:multiLvlStrRef>
          </c:cat>
          <c:val>
            <c:numRef>
              <c:f>Sheet1!$B$5:$G$5</c:f>
              <c:numCache>
                <c:formatCode>0.0</c:formatCode>
                <c:ptCount val="6"/>
                <c:pt idx="0">
                  <c:v>27.6</c:v>
                </c:pt>
                <c:pt idx="1">
                  <c:v>14.4</c:v>
                </c:pt>
                <c:pt idx="2">
                  <c:v>26.9</c:v>
                </c:pt>
                <c:pt idx="3">
                  <c:v>14.6</c:v>
                </c:pt>
                <c:pt idx="4">
                  <c:v>27.2</c:v>
                </c:pt>
                <c:pt idx="5">
                  <c:v>13.9</c:v>
                </c:pt>
              </c:numCache>
            </c:numRef>
          </c:val>
        </c:ser>
        <c:dLbls>
          <c:showVal val="1"/>
        </c:dLbls>
        <c:axId val="191074688"/>
        <c:axId val="191076224"/>
      </c:barChart>
      <c:catAx>
        <c:axId val="191074688"/>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91076224"/>
        <c:crosses val="autoZero"/>
        <c:auto val="1"/>
        <c:lblAlgn val="ctr"/>
        <c:lblOffset val="100"/>
        <c:tickLblSkip val="1"/>
        <c:tickMarkSkip val="1"/>
      </c:catAx>
      <c:valAx>
        <c:axId val="191076224"/>
        <c:scaling>
          <c:orientation val="minMax"/>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91074688"/>
        <c:crosses val="autoZero"/>
        <c:crossBetween val="between"/>
      </c:valAx>
      <c:spPr>
        <a:noFill/>
        <a:ln w="25400">
          <a:noFill/>
        </a:ln>
      </c:spPr>
    </c:plotArea>
    <c:legend>
      <c:legendPos val="b"/>
      <c:legendEntry>
        <c:idx val="0"/>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Entry>
      <c:legendEntry>
        <c:idx val="1"/>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Entry>
      <c:legendEntry>
        <c:idx val="2"/>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Entry>
      <c:layout>
        <c:manualLayout>
          <c:xMode val="edge"/>
          <c:yMode val="edge"/>
          <c:x val="0.30756625850387592"/>
          <c:y val="0.91188863569704215"/>
          <c:w val="0.48897489541575573"/>
          <c:h val="6.9009167550331513E-2"/>
        </c:manualLayout>
      </c:layout>
      <c:overlay val="1"/>
      <c:spPr>
        <a:noFill/>
        <a:ln w="9525">
          <a:solidFill>
            <a:schemeClr val="tx1"/>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barChart>
        <c:barDir val="col"/>
        <c:grouping val="stacked"/>
        <c:ser>
          <c:idx val="0"/>
          <c:order val="0"/>
          <c:tx>
            <c:strRef>
              <c:f>Sheet1!$B$1</c:f>
              <c:strCache>
                <c:ptCount val="1"/>
                <c:pt idx="0">
                  <c:v>Number of Children Who Receive Cash Assistance</c:v>
                </c:pt>
              </c:strCache>
            </c:strRef>
          </c:tx>
          <c:dLbls>
            <c:delete val="1"/>
          </c:dLbls>
          <c:cat>
            <c:strRef>
              <c:f>Sheet1!$A$2:$A$3</c:f>
              <c:strCache>
                <c:ptCount val="2"/>
                <c:pt idx="0">
                  <c:v>Gaza Strip</c:v>
                </c:pt>
                <c:pt idx="1">
                  <c:v>West Bank</c:v>
                </c:pt>
              </c:strCache>
            </c:strRef>
          </c:cat>
          <c:val>
            <c:numRef>
              <c:f>Sheet1!$B$2:$B$3</c:f>
              <c:numCache>
                <c:formatCode>General</c:formatCode>
                <c:ptCount val="2"/>
                <c:pt idx="0">
                  <c:v>178284</c:v>
                </c:pt>
                <c:pt idx="1">
                  <c:v>71455</c:v>
                </c:pt>
              </c:numCache>
            </c:numRef>
          </c:val>
        </c:ser>
        <c:ser>
          <c:idx val="1"/>
          <c:order val="1"/>
          <c:tx>
            <c:strRef>
              <c:f>Sheet1!$C$1</c:f>
              <c:strCache>
                <c:ptCount val="1"/>
                <c:pt idx="0">
                  <c:v>Number of Children with Disability Who Receive Cash Assistance</c:v>
                </c:pt>
              </c:strCache>
            </c:strRef>
          </c:tx>
          <c:spPr>
            <a:solidFill>
              <a:schemeClr val="bg2">
                <a:lumMod val="90000"/>
              </a:schemeClr>
            </a:solidFill>
          </c:spPr>
          <c:dLbls>
            <c:delete val="1"/>
          </c:dLbls>
          <c:cat>
            <c:strRef>
              <c:f>Sheet1!$A$2:$A$3</c:f>
              <c:strCache>
                <c:ptCount val="2"/>
                <c:pt idx="0">
                  <c:v>Gaza Strip</c:v>
                </c:pt>
                <c:pt idx="1">
                  <c:v>West Bank</c:v>
                </c:pt>
              </c:strCache>
            </c:strRef>
          </c:cat>
          <c:val>
            <c:numRef>
              <c:f>Sheet1!$C$2:$C$3</c:f>
              <c:numCache>
                <c:formatCode>General</c:formatCode>
                <c:ptCount val="2"/>
                <c:pt idx="0">
                  <c:v>7462</c:v>
                </c:pt>
                <c:pt idx="1">
                  <c:v>4924</c:v>
                </c:pt>
              </c:numCache>
            </c:numRef>
          </c:val>
        </c:ser>
        <c:ser>
          <c:idx val="2"/>
          <c:order val="2"/>
          <c:tx>
            <c:strRef>
              <c:f>Sheet1!$D$1</c:f>
              <c:strCache>
                <c:ptCount val="1"/>
                <c:pt idx="0">
                  <c:v>Number of Children with Chronic Diseases Who Receive Cash Assistance</c:v>
                </c:pt>
              </c:strCache>
            </c:strRef>
          </c:tx>
          <c:dLbls>
            <c:delete val="1"/>
          </c:dLbls>
          <c:cat>
            <c:strRef>
              <c:f>Sheet1!$A$2:$A$3</c:f>
              <c:strCache>
                <c:ptCount val="2"/>
                <c:pt idx="0">
                  <c:v>Gaza Strip</c:v>
                </c:pt>
                <c:pt idx="1">
                  <c:v>West Bank</c:v>
                </c:pt>
              </c:strCache>
            </c:strRef>
          </c:cat>
          <c:val>
            <c:numRef>
              <c:f>Sheet1!$D$2:$D$3</c:f>
              <c:numCache>
                <c:formatCode>General</c:formatCode>
                <c:ptCount val="2"/>
                <c:pt idx="0">
                  <c:v>8889</c:v>
                </c:pt>
                <c:pt idx="1">
                  <c:v>5338</c:v>
                </c:pt>
              </c:numCache>
            </c:numRef>
          </c:val>
        </c:ser>
        <c:ser>
          <c:idx val="3"/>
          <c:order val="3"/>
          <c:tx>
            <c:strRef>
              <c:f>Sheet1!$E$1</c:f>
              <c:strCache>
                <c:ptCount val="1"/>
                <c:pt idx="0">
                  <c:v>Number of Children with Both Disability and Chronic Diseases Who Receive Cash Assistance</c:v>
                </c:pt>
              </c:strCache>
            </c:strRef>
          </c:tx>
          <c:spPr>
            <a:solidFill>
              <a:schemeClr val="accent6">
                <a:lumMod val="60000"/>
                <a:lumOff val="40000"/>
              </a:schemeClr>
            </a:solidFill>
          </c:spPr>
          <c:dLbls>
            <c:delete val="1"/>
          </c:dLbls>
          <c:cat>
            <c:strRef>
              <c:f>Sheet1!$A$2:$A$3</c:f>
              <c:strCache>
                <c:ptCount val="2"/>
                <c:pt idx="0">
                  <c:v>Gaza Strip</c:v>
                </c:pt>
                <c:pt idx="1">
                  <c:v>West Bank</c:v>
                </c:pt>
              </c:strCache>
            </c:strRef>
          </c:cat>
          <c:val>
            <c:numRef>
              <c:f>Sheet1!$E$2:$E$3</c:f>
              <c:numCache>
                <c:formatCode>General</c:formatCode>
                <c:ptCount val="2"/>
                <c:pt idx="0">
                  <c:v>2559</c:v>
                </c:pt>
                <c:pt idx="1">
                  <c:v>3732</c:v>
                </c:pt>
              </c:numCache>
            </c:numRef>
          </c:val>
        </c:ser>
        <c:dLbls>
          <c:showVal val="1"/>
        </c:dLbls>
        <c:gapWidth val="55"/>
        <c:overlap val="100"/>
        <c:axId val="191271680"/>
        <c:axId val="191273216"/>
      </c:barChart>
      <c:catAx>
        <c:axId val="191271680"/>
        <c:scaling>
          <c:orientation val="minMax"/>
        </c:scaling>
        <c:axPos val="b"/>
        <c:numFmt formatCode="General" sourceLinked="0"/>
        <c:majorTickMark val="none"/>
        <c:tickLblPos val="nextTo"/>
        <c:crossAx val="191273216"/>
        <c:crosses val="autoZero"/>
        <c:auto val="1"/>
        <c:lblAlgn val="ctr"/>
        <c:lblOffset val="100"/>
      </c:catAx>
      <c:valAx>
        <c:axId val="191273216"/>
        <c:scaling>
          <c:orientation val="minMax"/>
          <c:max val="200000"/>
        </c:scaling>
        <c:axPos val="l"/>
        <c:majorGridlines/>
        <c:numFmt formatCode="General" sourceLinked="1"/>
        <c:majorTickMark val="none"/>
        <c:tickLblPos val="nextTo"/>
        <c:crossAx val="191271680"/>
        <c:crosses val="autoZero"/>
        <c:crossBetween val="between"/>
      </c:valAx>
    </c:plotArea>
    <c:legend>
      <c:legendPos val="r"/>
      <c:spPr>
        <a:ln>
          <a:solidFill>
            <a:srgbClr val="4F81BD"/>
          </a:solidFill>
        </a:ln>
      </c:spPr>
      <c:txPr>
        <a:bodyPr/>
        <a:lstStyle/>
        <a:p>
          <a:pPr>
            <a:defRPr>
              <a:solidFill>
                <a:sysClr val="windowText" lastClr="000000"/>
              </a:solidFill>
            </a:defRPr>
          </a:pPr>
          <a:endParaRPr lang="en-US"/>
        </a:p>
      </c:txPr>
    </c:legend>
    <c:plotVisOnly val="1"/>
    <c:dispBlanksAs val="gap"/>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8.0633567698465025E-2"/>
          <c:y val="0.22318659031257457"/>
          <c:w val="0.89476654584489057"/>
          <c:h val="0.61865903125746935"/>
        </c:manualLayout>
      </c:layout>
      <c:lineChart>
        <c:grouping val="standard"/>
        <c:ser>
          <c:idx val="0"/>
          <c:order val="0"/>
          <c:tx>
            <c:strRef>
              <c:f>Sheet1!$B$1</c:f>
              <c:strCache>
                <c:ptCount val="1"/>
                <c:pt idx="0">
                  <c:v>Number of Children Referred to Behavior Observation in the West  Bank</c:v>
                </c:pt>
              </c:strCache>
            </c:strRef>
          </c:tx>
          <c:dLbls>
            <c:dLbl>
              <c:idx val="0"/>
              <c:tx>
                <c:rich>
                  <a:bodyPr/>
                  <a:lstStyle/>
                  <a:p>
                    <a:r>
                      <a:rPr lang="en-US"/>
                      <a:t>1,960</a:t>
                    </a:r>
                  </a:p>
                </c:rich>
              </c:tx>
              <c:dLblPos val="t"/>
              <c:showVal val="1"/>
              <c:extLst>
                <c:ext xmlns:c15="http://schemas.microsoft.com/office/drawing/2012/chart" uri="{CE6537A1-D6FC-4f65-9D91-7224C49458BB}"/>
              </c:extLst>
            </c:dLbl>
            <c:dLbl>
              <c:idx val="1"/>
              <c:layout>
                <c:manualLayout>
                  <c:x val="-4.3921979091681329E-2"/>
                  <c:y val="-5.7465402052017132E-2"/>
                </c:manualLayout>
              </c:layout>
              <c:tx>
                <c:rich>
                  <a:bodyPr/>
                  <a:lstStyle/>
                  <a:p>
                    <a:r>
                      <a:rPr lang="en-US"/>
                      <a:t>2,167</a:t>
                    </a:r>
                  </a:p>
                </c:rich>
              </c:tx>
              <c:dLblPos val="r"/>
              <c:showVal val="1"/>
              <c:extLst>
                <c:ext xmlns:c15="http://schemas.microsoft.com/office/drawing/2012/chart" uri="{CE6537A1-D6FC-4f65-9D91-7224C49458BB}"/>
              </c:extLst>
            </c:dLbl>
            <c:dLbl>
              <c:idx val="2"/>
              <c:tx>
                <c:rich>
                  <a:bodyPr/>
                  <a:lstStyle/>
                  <a:p>
                    <a:r>
                      <a:rPr lang="en-US"/>
                      <a:t>1,702</a:t>
                    </a:r>
                  </a:p>
                </c:rich>
              </c:tx>
              <c:dLblPos val="t"/>
              <c:showVal val="1"/>
              <c:extLst>
                <c:ext xmlns:c15="http://schemas.microsoft.com/office/drawing/2012/chart" uri="{CE6537A1-D6FC-4f65-9D91-7224C49458BB}"/>
              </c:extLst>
            </c:dLbl>
            <c:dLbl>
              <c:idx val="3"/>
              <c:tx>
                <c:rich>
                  <a:bodyPr/>
                  <a:lstStyle/>
                  <a:p>
                    <a:r>
                      <a:rPr lang="en-US"/>
                      <a:t>1,716</a:t>
                    </a:r>
                  </a:p>
                </c:rich>
              </c:tx>
              <c:dLblPos val="t"/>
              <c:showVal val="1"/>
              <c:extLst>
                <c:ext xmlns:c15="http://schemas.microsoft.com/office/drawing/2012/chart" uri="{CE6537A1-D6FC-4f65-9D91-7224C49458BB}"/>
              </c:extLst>
            </c:dLbl>
            <c:dLbl>
              <c:idx val="4"/>
              <c:tx>
                <c:rich>
                  <a:bodyPr/>
                  <a:lstStyle/>
                  <a:p>
                    <a:r>
                      <a:rPr lang="en-US"/>
                      <a:t>1,673</a:t>
                    </a:r>
                  </a:p>
                </c:rich>
              </c:tx>
              <c:dLblPos val="t"/>
              <c:showVal val="1"/>
              <c:extLst>
                <c:ext xmlns:c15="http://schemas.microsoft.com/office/drawing/2012/chart" uri="{CE6537A1-D6FC-4f65-9D91-7224C49458BB}"/>
              </c:extLst>
            </c:dLbl>
            <c:dLbl>
              <c:idx val="5"/>
              <c:tx>
                <c:rich>
                  <a:bodyPr/>
                  <a:lstStyle/>
                  <a:p>
                    <a:r>
                      <a:rPr lang="en-US"/>
                      <a:t>1,945</a:t>
                    </a:r>
                  </a:p>
                </c:rich>
              </c:tx>
              <c:dLblPos val="t"/>
              <c:showVal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numRef>
              <c:f>Sheet1!$A$2:$A$7</c:f>
              <c:numCache>
                <c:formatCode>General</c:formatCode>
                <c:ptCount val="6"/>
                <c:pt idx="0">
                  <c:v>2009</c:v>
                </c:pt>
                <c:pt idx="1">
                  <c:v>2010</c:v>
                </c:pt>
                <c:pt idx="2">
                  <c:v>2011</c:v>
                </c:pt>
                <c:pt idx="3">
                  <c:v>2012</c:v>
                </c:pt>
                <c:pt idx="4">
                  <c:v>2013</c:v>
                </c:pt>
                <c:pt idx="5">
                  <c:v>2014</c:v>
                </c:pt>
              </c:numCache>
            </c:numRef>
          </c:cat>
          <c:val>
            <c:numRef>
              <c:f>Sheet1!$B$2:$B$7</c:f>
              <c:numCache>
                <c:formatCode>General</c:formatCode>
                <c:ptCount val="6"/>
                <c:pt idx="0">
                  <c:v>1960</c:v>
                </c:pt>
                <c:pt idx="1">
                  <c:v>2167</c:v>
                </c:pt>
                <c:pt idx="2">
                  <c:v>1702</c:v>
                </c:pt>
                <c:pt idx="3">
                  <c:v>1716</c:v>
                </c:pt>
                <c:pt idx="4">
                  <c:v>1673</c:v>
                </c:pt>
                <c:pt idx="5">
                  <c:v>1945</c:v>
                </c:pt>
              </c:numCache>
            </c:numRef>
          </c:val>
        </c:ser>
        <c:ser>
          <c:idx val="1"/>
          <c:order val="1"/>
          <c:tx>
            <c:strRef>
              <c:f>Sheet1!$C$1</c:f>
              <c:strCache>
                <c:ptCount val="1"/>
                <c:pt idx="0">
                  <c:v>Number of Children Admintted to AlAmal Center for Care and Observation</c:v>
                </c:pt>
              </c:strCache>
            </c:strRef>
          </c:tx>
          <c:dLbls>
            <c:spPr>
              <a:noFill/>
              <a:ln>
                <a:noFill/>
              </a:ln>
              <a:effectLst/>
            </c:spPr>
            <c:dLblPos val="t"/>
            <c:showVal val="1"/>
            <c:extLst>
              <c:ext xmlns:c15="http://schemas.microsoft.com/office/drawing/2012/chart" uri="{CE6537A1-D6FC-4f65-9D91-7224C49458BB}">
                <c15:showLeaderLines val="0"/>
              </c:ext>
            </c:extLst>
          </c:dLbls>
          <c:cat>
            <c:numRef>
              <c:f>Sheet1!$A$2:$A$7</c:f>
              <c:numCache>
                <c:formatCode>General</c:formatCode>
                <c:ptCount val="6"/>
                <c:pt idx="0">
                  <c:v>2009</c:v>
                </c:pt>
                <c:pt idx="1">
                  <c:v>2010</c:v>
                </c:pt>
                <c:pt idx="2">
                  <c:v>2011</c:v>
                </c:pt>
                <c:pt idx="3">
                  <c:v>2012</c:v>
                </c:pt>
                <c:pt idx="4">
                  <c:v>2013</c:v>
                </c:pt>
                <c:pt idx="5">
                  <c:v>2014</c:v>
                </c:pt>
              </c:numCache>
            </c:numRef>
          </c:cat>
          <c:val>
            <c:numRef>
              <c:f>Sheet1!$C$2:$C$7</c:f>
              <c:numCache>
                <c:formatCode>General</c:formatCode>
                <c:ptCount val="6"/>
                <c:pt idx="0">
                  <c:v>316</c:v>
                </c:pt>
                <c:pt idx="1">
                  <c:v>456</c:v>
                </c:pt>
                <c:pt idx="2">
                  <c:v>390</c:v>
                </c:pt>
                <c:pt idx="3">
                  <c:v>355</c:v>
                </c:pt>
                <c:pt idx="4">
                  <c:v>84</c:v>
                </c:pt>
                <c:pt idx="5">
                  <c:v>236</c:v>
                </c:pt>
              </c:numCache>
            </c:numRef>
          </c:val>
        </c:ser>
        <c:marker val="1"/>
        <c:axId val="191249408"/>
        <c:axId val="191255296"/>
      </c:lineChart>
      <c:catAx>
        <c:axId val="191249408"/>
        <c:scaling>
          <c:orientation val="minMax"/>
        </c:scaling>
        <c:axPos val="b"/>
        <c:numFmt formatCode="General" sourceLinked="1"/>
        <c:tickLblPos val="nextTo"/>
        <c:txPr>
          <a:bodyPr/>
          <a:lstStyle/>
          <a:p>
            <a:pPr>
              <a:defRPr>
                <a:solidFill>
                  <a:sysClr val="windowText" lastClr="000000"/>
                </a:solidFill>
              </a:defRPr>
            </a:pPr>
            <a:endParaRPr lang="en-US"/>
          </a:p>
        </c:txPr>
        <c:crossAx val="191255296"/>
        <c:crosses val="autoZero"/>
        <c:auto val="1"/>
        <c:lblAlgn val="ctr"/>
        <c:lblOffset val="100"/>
      </c:catAx>
      <c:valAx>
        <c:axId val="191255296"/>
        <c:scaling>
          <c:orientation val="minMax"/>
        </c:scaling>
        <c:axPos val="l"/>
        <c:majorGridlines/>
        <c:numFmt formatCode="General" sourceLinked="1"/>
        <c:tickLblPos val="nextTo"/>
        <c:crossAx val="191249408"/>
        <c:crosses val="autoZero"/>
        <c:crossBetween val="between"/>
      </c:valAx>
    </c:plotArea>
    <c:legend>
      <c:legendPos val="t"/>
      <c:layout>
        <c:manualLayout>
          <c:xMode val="edge"/>
          <c:yMode val="edge"/>
          <c:x val="7.5904296756689013E-2"/>
          <c:y val="2.3809452795673286E-2"/>
          <c:w val="0.89633128880159996"/>
          <c:h val="0.18806768472123381"/>
        </c:manualLayout>
      </c:layout>
      <c:spPr>
        <a:ln w="12700">
          <a:solidFill>
            <a:schemeClr val="tx2">
              <a:lumMod val="20000"/>
              <a:lumOff val="80000"/>
            </a:schemeClr>
          </a:solidFill>
        </a:ln>
      </c:spPr>
      <c:txPr>
        <a:bodyPr/>
        <a:lstStyle/>
        <a:p>
          <a:pPr>
            <a:defRPr sz="900">
              <a:solidFill>
                <a:sysClr val="windowText" lastClr="000000"/>
              </a:solidFill>
            </a:defRPr>
          </a:pPr>
          <a:endParaRPr lang="en-US"/>
        </a:p>
      </c:txPr>
    </c:legend>
    <c:plotVisOnly val="1"/>
    <c:dispBlanksAs val="gap"/>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barChart>
        <c:barDir val="col"/>
        <c:grouping val="clustered"/>
        <c:ser>
          <c:idx val="0"/>
          <c:order val="0"/>
          <c:tx>
            <c:strRef>
              <c:f>Sheet1!$B$1</c:f>
              <c:strCache>
                <c:ptCount val="1"/>
                <c:pt idx="0">
                  <c:v>Column1</c:v>
                </c:pt>
              </c:strCache>
            </c:strRef>
          </c:tx>
          <c:dLbls>
            <c:dLbl>
              <c:idx val="0"/>
              <c:layout>
                <c:manualLayout>
                  <c:x val="0"/>
                  <c:y val="1.058867641544808E-2"/>
                </c:manualLayout>
              </c:layout>
              <c:tx>
                <c:rich>
                  <a:bodyPr/>
                  <a:lstStyle/>
                  <a:p>
                    <a:r>
                      <a:rPr lang="en-US"/>
                      <a:t>167</a:t>
                    </a:r>
                  </a:p>
                </c:rich>
              </c:tx>
              <c:showVal val="1"/>
              <c:extLst>
                <c:ext xmlns:c15="http://schemas.microsoft.com/office/drawing/2012/chart" uri="{CE6537A1-D6FC-4f65-9D91-7224C49458BB}"/>
              </c:extLst>
            </c:dLbl>
            <c:dLbl>
              <c:idx val="1"/>
              <c:layout>
                <c:manualLayout>
                  <c:x val="2.3148148148148147E-3"/>
                  <c:y val="-4.3640133218641793E-3"/>
                </c:manualLayout>
              </c:layout>
              <c:showVal val="1"/>
              <c:extLst>
                <c:ext xmlns:c15="http://schemas.microsoft.com/office/drawing/2012/chart" uri="{CE6537A1-D6FC-4f65-9D91-7224C49458BB}"/>
              </c:extLst>
            </c:dLbl>
            <c:dLbl>
              <c:idx val="4"/>
              <c:tx>
                <c:rich>
                  <a:bodyPr/>
                  <a:lstStyle/>
                  <a:p>
                    <a:r>
                      <a:rPr lang="en-US"/>
                      <a:t>1,504</a:t>
                    </a:r>
                  </a:p>
                </c:rich>
              </c:tx>
              <c:showVal val="1"/>
            </c:dLbl>
            <c:spPr>
              <a:noFill/>
              <a:ln>
                <a:noFill/>
              </a:ln>
              <a:effectLst/>
            </c:spPr>
            <c:showVal val="1"/>
            <c:extLst>
              <c:ext xmlns:c15="http://schemas.microsoft.com/office/drawing/2012/chart" uri="{CE6537A1-D6FC-4f65-9D91-7224C49458BB}">
                <c15:showLeaderLines val="0"/>
              </c:ext>
            </c:extLst>
          </c:dLbls>
          <c:cat>
            <c:strRef>
              <c:f>Sheet1!$A$2:$A$6</c:f>
              <c:strCache>
                <c:ptCount val="5"/>
                <c:pt idx="0">
                  <c:v>Vandalism</c:v>
                </c:pt>
                <c:pt idx="1">
                  <c:v>Assault and quarell</c:v>
                </c:pt>
                <c:pt idx="2">
                  <c:v>Immoral conduct</c:v>
                </c:pt>
                <c:pt idx="3">
                  <c:v>Injury and Harm</c:v>
                </c:pt>
                <c:pt idx="4">
                  <c:v>Other</c:v>
                </c:pt>
              </c:strCache>
            </c:strRef>
          </c:cat>
          <c:val>
            <c:numRef>
              <c:f>Sheet1!$B$2:$B$6</c:f>
              <c:numCache>
                <c:formatCode>General</c:formatCode>
                <c:ptCount val="5"/>
                <c:pt idx="0">
                  <c:v>167</c:v>
                </c:pt>
                <c:pt idx="1">
                  <c:v>152</c:v>
                </c:pt>
                <c:pt idx="2">
                  <c:v>99</c:v>
                </c:pt>
                <c:pt idx="3">
                  <c:v>23</c:v>
                </c:pt>
                <c:pt idx="4">
                  <c:v>1504</c:v>
                </c:pt>
              </c:numCache>
            </c:numRef>
          </c:val>
        </c:ser>
        <c:axId val="191369600"/>
        <c:axId val="191371136"/>
      </c:barChart>
      <c:catAx>
        <c:axId val="191369600"/>
        <c:scaling>
          <c:orientation val="minMax"/>
        </c:scaling>
        <c:axPos val="b"/>
        <c:numFmt formatCode="General" sourceLinked="1"/>
        <c:tickLblPos val="nextTo"/>
        <c:txPr>
          <a:bodyPr/>
          <a:lstStyle/>
          <a:p>
            <a:pPr>
              <a:defRPr>
                <a:solidFill>
                  <a:sysClr val="windowText" lastClr="000000"/>
                </a:solidFill>
              </a:defRPr>
            </a:pPr>
            <a:endParaRPr lang="en-US"/>
          </a:p>
        </c:txPr>
        <c:crossAx val="191371136"/>
        <c:crosses val="autoZero"/>
        <c:auto val="1"/>
        <c:lblAlgn val="ctr"/>
        <c:lblOffset val="100"/>
      </c:catAx>
      <c:valAx>
        <c:axId val="191371136"/>
        <c:scaling>
          <c:orientation val="minMax"/>
          <c:min val="0"/>
        </c:scaling>
        <c:axPos val="l"/>
        <c:majorGridlines/>
        <c:numFmt formatCode="General" sourceLinked="1"/>
        <c:tickLblPos val="nextTo"/>
        <c:crossAx val="191369600"/>
        <c:crosses val="autoZero"/>
        <c:crossBetween val="between"/>
        <c:majorUnit val="200"/>
        <c:minorUnit val="100"/>
      </c:valAx>
    </c:plotArea>
    <c:plotVisOnly val="1"/>
    <c:dispBlanksAs val="gap"/>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6066522795816554E-2"/>
          <c:y val="3.8746965324111794E-2"/>
          <c:w val="0.90531393303903729"/>
          <c:h val="0.59534127867419429"/>
        </c:manualLayout>
      </c:layout>
      <c:barChart>
        <c:barDir val="col"/>
        <c:grouping val="clustered"/>
        <c:ser>
          <c:idx val="1"/>
          <c:order val="0"/>
          <c:tx>
            <c:strRef>
              <c:f>Sheet1!$A$3</c:f>
              <c:strCache>
                <c:ptCount val="1"/>
                <c:pt idx="0">
                  <c:v>Male</c:v>
                </c:pt>
              </c:strCache>
            </c:strRef>
          </c:tx>
          <c:spPr>
            <a:ln w="12700">
              <a:solidFill>
                <a:srgbClr val="FF00FF"/>
              </a:solidFill>
              <a:prstDash val="solid"/>
            </a:ln>
          </c:spPr>
          <c:dLbls>
            <c:dLbl>
              <c:idx val="0"/>
              <c:layout>
                <c:manualLayout>
                  <c:x val="-9.0707828279985934E-4"/>
                  <c:y val="9.2683956397494206E-3"/>
                </c:manualLayout>
              </c:layout>
              <c:showVal val="1"/>
              <c:extLst>
                <c:ext xmlns:c15="http://schemas.microsoft.com/office/drawing/2012/chart" uri="{CE6537A1-D6FC-4f65-9D91-7224C49458BB}"/>
              </c:extLst>
            </c:dLbl>
            <c:dLbl>
              <c:idx val="1"/>
              <c:layout>
                <c:manualLayout>
                  <c:x val="-9.8639990071786639E-4"/>
                  <c:y val="2.2568598312040757E-2"/>
                </c:manualLayout>
              </c:layout>
              <c:showVal val="1"/>
              <c:extLst>
                <c:ext xmlns:c15="http://schemas.microsoft.com/office/drawing/2012/chart" uri="{CE6537A1-D6FC-4f65-9D91-7224C49458BB}"/>
              </c:extLst>
            </c:dLbl>
            <c:dLbl>
              <c:idx val="2"/>
              <c:layout>
                <c:manualLayout>
                  <c:x val="-4.4151471197679234E-3"/>
                  <c:y val="1.2618296529968416E-2"/>
                </c:manualLayout>
              </c:layout>
              <c:showVal val="1"/>
              <c:extLst>
                <c:ext xmlns:c15="http://schemas.microsoft.com/office/drawing/2012/chart" uri="{CE6537A1-D6FC-4f65-9D91-7224C49458BB}"/>
              </c:extLst>
            </c:dLbl>
            <c:dLbl>
              <c:idx val="3"/>
              <c:layout>
                <c:manualLayout>
                  <c:x val="-2.9154175633259202E-3"/>
                  <c:y val="4.8661800486618006E-3"/>
                </c:manualLayout>
              </c:layout>
              <c:showVal val="1"/>
              <c:extLst>
                <c:ext xmlns:c15="http://schemas.microsoft.com/office/drawing/2012/chart" uri="{CE6537A1-D6FC-4f65-9D91-7224C49458BB}"/>
              </c:extLst>
            </c:dLbl>
            <c:dLbl>
              <c:idx val="4"/>
              <c:layout>
                <c:manualLayout>
                  <c:x val="8.2762856261877737E-4"/>
                  <c:y val="-2.6048838019575409E-2"/>
                </c:manualLayout>
              </c:layout>
              <c:showVal val="1"/>
              <c:extLst>
                <c:ext xmlns:c15="http://schemas.microsoft.com/office/drawing/2012/chart" uri="{CE6537A1-D6FC-4f65-9D91-7224C49458BB}"/>
              </c:extLst>
            </c:dLbl>
            <c:dLbl>
              <c:idx val="5"/>
              <c:layout>
                <c:manualLayout>
                  <c:x val="9.1960740965658764E-4"/>
                  <c:y val="-1.0019787111547513E-2"/>
                </c:manualLayout>
              </c:layout>
              <c:showVal val="1"/>
              <c:extLst>
                <c:ext xmlns:c15="http://schemas.microsoft.com/office/drawing/2012/chart" uri="{CE6537A1-D6FC-4f65-9D91-7224C49458BB}"/>
              </c:extLst>
            </c:dLbl>
            <c:dLbl>
              <c:idx val="6"/>
              <c:layout>
                <c:manualLayout>
                  <c:x val="-1.9867549668875592E-2"/>
                  <c:y val="-5.8394160583941833E-2"/>
                </c:manualLayout>
              </c:layout>
              <c:showVal val="1"/>
              <c:extLst>
                <c:ext xmlns:c15="http://schemas.microsoft.com/office/drawing/2012/chart" uri="{CE6537A1-D6FC-4f65-9D91-7224C49458BB}"/>
              </c:extLst>
            </c:dLbl>
            <c:dLbl>
              <c:idx val="7"/>
              <c:layout>
                <c:manualLayout>
                  <c:x val="-2.4282560706401772E-2"/>
                  <c:y val="-5.8394160583941833E-2"/>
                </c:manualLayout>
              </c:layout>
              <c:showVal val="1"/>
              <c:extLst>
                <c:ext xmlns:c15="http://schemas.microsoft.com/office/drawing/2012/chart" uri="{CE6537A1-D6FC-4f65-9D91-7224C49458BB}"/>
              </c:extLst>
            </c:dLbl>
            <c:dLbl>
              <c:idx val="8"/>
              <c:layout>
                <c:manualLayout>
                  <c:x val="-1.9867549668875592E-2"/>
                  <c:y val="-5.8394160583941833E-2"/>
                </c:manualLayout>
              </c:layout>
              <c:showVal val="1"/>
              <c:extLst>
                <c:ext xmlns:c15="http://schemas.microsoft.com/office/drawing/2012/chart" uri="{CE6537A1-D6FC-4f65-9D91-7224C49458BB}"/>
              </c:extLst>
            </c:dLbl>
            <c:dLbl>
              <c:idx val="9"/>
              <c:layout>
                <c:manualLayout>
                  <c:x val="-1.7660044150110295E-2"/>
                  <c:y val="-5.3527980535279802E-2"/>
                </c:manualLayout>
              </c:layout>
              <c:showVal val="1"/>
              <c:extLst>
                <c:ext xmlns:c15="http://schemas.microsoft.com/office/drawing/2012/chart" uri="{CE6537A1-D6FC-4f65-9D91-7224C49458BB}"/>
              </c:extLst>
            </c:dLbl>
            <c:dLbl>
              <c:idx val="10"/>
              <c:layout>
                <c:manualLayout>
                  <c:x val="-1.7660044150110375E-2"/>
                  <c:y val="-5.8394160583941833E-2"/>
                </c:manualLayout>
              </c:layout>
              <c:showVal val="1"/>
              <c:extLst>
                <c:ext xmlns:c15="http://schemas.microsoft.com/office/drawing/2012/chart" uri="{CE6537A1-D6FC-4f65-9D91-7224C49458BB}"/>
              </c:extLst>
            </c:dLbl>
            <c:dLbl>
              <c:idx val="11"/>
              <c:layout>
                <c:manualLayout>
                  <c:x val="-2.4282560706401772E-2"/>
                  <c:y val="-4.3795620437957032E-2"/>
                </c:manualLayout>
              </c:layout>
              <c:showVal val="1"/>
              <c:extLst>
                <c:ext xmlns:c15="http://schemas.microsoft.com/office/drawing/2012/chart" uri="{CE6537A1-D6FC-4f65-9D91-7224C49458BB}"/>
              </c:extLst>
            </c:dLbl>
            <c:dLbl>
              <c:idx val="12"/>
              <c:layout>
                <c:manualLayout>
                  <c:x val="-2.4282560706401772E-2"/>
                  <c:y val="-5.3527980535279802E-2"/>
                </c:manualLayout>
              </c:layout>
              <c:showVal val="1"/>
              <c:extLst>
                <c:ext xmlns:c15="http://schemas.microsoft.com/office/drawing/2012/chart" uri="{CE6537A1-D6FC-4f65-9D91-7224C49458BB}"/>
              </c:extLst>
            </c:dLbl>
            <c:dLbl>
              <c:idx val="13"/>
              <c:layout>
                <c:manualLayout>
                  <c:x val="-1.9867549668875592E-2"/>
                  <c:y val="-5.3527980535279802E-2"/>
                </c:manualLayout>
              </c:layout>
              <c:showVal val="1"/>
              <c:extLst>
                <c:ext xmlns:c15="http://schemas.microsoft.com/office/drawing/2012/chart" uri="{CE6537A1-D6FC-4f65-9D91-7224C49458BB}"/>
              </c:extLst>
            </c:dLbl>
            <c:dLbl>
              <c:idx val="14"/>
              <c:layout>
                <c:manualLayout>
                  <c:x val="-1.9867549668875592E-2"/>
                  <c:y val="-5.3527980535279802E-2"/>
                </c:manualLayout>
              </c:layout>
              <c:showVal val="1"/>
              <c:extLst>
                <c:ext xmlns:c15="http://schemas.microsoft.com/office/drawing/2012/chart" uri="{CE6537A1-D6FC-4f65-9D91-7224C49458BB}"/>
              </c:extLst>
            </c:dLbl>
            <c:spPr>
              <a:noFill/>
              <a:ln>
                <a:noFill/>
              </a:ln>
              <a:effectLst/>
            </c:spPr>
            <c:txPr>
              <a:bodyPr/>
              <a:lstStyle/>
              <a:p>
                <a:pPr>
                  <a:defRPr sz="900">
                    <a:solidFill>
                      <a:sysClr val="windowText" lastClr="000000"/>
                    </a:solidFill>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1">
                    <c:v>Sexual</c:v>
                  </c:pt>
                  <c:pt idx="2">
                    <c:v>Economic</c:v>
                  </c:pt>
                  <c:pt idx="4">
                    <c:v>Harrassment</c:v>
                  </c:pt>
                  <c:pt idx="5">
                    <c:v>Complete Assault</c:v>
                  </c:pt>
                </c:lvl>
                <c:lvl>
                  <c:pt idx="0">
                    <c:v>Neglect and Emotional Abuse</c:v>
                  </c:pt>
                  <c:pt idx="1">
                    <c:v>Abuse</c:v>
                  </c:pt>
                  <c:pt idx="3">
                    <c:v>Physical Abuse</c:v>
                  </c:pt>
                  <c:pt idx="4">
                    <c:v>Sexual Abuse</c:v>
                  </c:pt>
                </c:lvl>
              </c:multiLvlStrCache>
            </c:multiLvlStrRef>
          </c:cat>
          <c:val>
            <c:numRef>
              <c:f>Sheet1!$B$3:$G$3</c:f>
              <c:numCache>
                <c:formatCode>0</c:formatCode>
                <c:ptCount val="6"/>
                <c:pt idx="0">
                  <c:v>225</c:v>
                </c:pt>
                <c:pt idx="1">
                  <c:v>2</c:v>
                </c:pt>
                <c:pt idx="2">
                  <c:v>88</c:v>
                </c:pt>
                <c:pt idx="3">
                  <c:v>29</c:v>
                </c:pt>
                <c:pt idx="4">
                  <c:v>4</c:v>
                </c:pt>
                <c:pt idx="5">
                  <c:v>3</c:v>
                </c:pt>
              </c:numCache>
            </c:numRef>
          </c:val>
        </c:ser>
        <c:ser>
          <c:idx val="0"/>
          <c:order val="1"/>
          <c:tx>
            <c:strRef>
              <c:f>Sheet1!$A$4</c:f>
              <c:strCache>
                <c:ptCount val="1"/>
                <c:pt idx="0">
                  <c:v>Female</c:v>
                </c:pt>
              </c:strCache>
            </c:strRef>
          </c:tx>
          <c:spPr>
            <a:solidFill>
              <a:schemeClr val="tx2">
                <a:lumMod val="20000"/>
                <a:lumOff val="80000"/>
              </a:schemeClr>
            </a:solidFill>
          </c:spPr>
          <c:dLbls>
            <c:dLbl>
              <c:idx val="1"/>
              <c:layout>
                <c:manualLayout>
                  <c:x val="6.7834736793689013E-3"/>
                  <c:y val="1.3010575711817487E-2"/>
                </c:manualLayout>
              </c:layout>
              <c:showVal val="1"/>
              <c:extLst>
                <c:ext xmlns:c15="http://schemas.microsoft.com/office/drawing/2012/chart" uri="{CE6537A1-D6FC-4f65-9D91-7224C49458BB}"/>
              </c:extLst>
            </c:dLbl>
            <c:dLbl>
              <c:idx val="2"/>
              <c:layout>
                <c:manualLayout>
                  <c:x val="4.5904131927299524E-3"/>
                  <c:y val="1.7172881328848463E-2"/>
                </c:manualLayout>
              </c:layout>
              <c:showVal val="1"/>
              <c:extLst>
                <c:ext xmlns:c15="http://schemas.microsoft.com/office/drawing/2012/chart" uri="{CE6537A1-D6FC-4f65-9D91-7224C49458BB}"/>
              </c:extLst>
            </c:dLbl>
            <c:dLbl>
              <c:idx val="3"/>
              <c:layout>
                <c:manualLayout>
                  <c:x val="2.2952933815048792E-3"/>
                  <c:y val="1.3010575711817459E-2"/>
                </c:manualLayout>
              </c:layout>
              <c:showVal val="1"/>
              <c:extLst>
                <c:ext xmlns:c15="http://schemas.microsoft.com/office/drawing/2012/chart" uri="{CE6537A1-D6FC-4f65-9D91-7224C49458BB}"/>
              </c:extLst>
            </c:dLbl>
            <c:spPr>
              <a:noFill/>
              <a:ln>
                <a:noFill/>
              </a:ln>
              <a:effectLst/>
            </c:spPr>
            <c:txPr>
              <a:bodyPr/>
              <a:lstStyle/>
              <a:p>
                <a:pPr>
                  <a:defRPr sz="900">
                    <a:solidFill>
                      <a:sysClr val="windowText" lastClr="000000"/>
                    </a:solidFill>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1">
                    <c:v>Sexual</c:v>
                  </c:pt>
                  <c:pt idx="2">
                    <c:v>Economic</c:v>
                  </c:pt>
                  <c:pt idx="4">
                    <c:v>Harrassment</c:v>
                  </c:pt>
                  <c:pt idx="5">
                    <c:v>Complete Assault</c:v>
                  </c:pt>
                </c:lvl>
                <c:lvl>
                  <c:pt idx="0">
                    <c:v>Neglect and Emotional Abuse</c:v>
                  </c:pt>
                  <c:pt idx="1">
                    <c:v>Abuse</c:v>
                  </c:pt>
                  <c:pt idx="3">
                    <c:v>Physical Abuse</c:v>
                  </c:pt>
                  <c:pt idx="4">
                    <c:v>Sexual Abuse</c:v>
                  </c:pt>
                </c:lvl>
              </c:multiLvlStrCache>
            </c:multiLvlStrRef>
          </c:cat>
          <c:val>
            <c:numRef>
              <c:f>Sheet1!$B$4:$G$4</c:f>
              <c:numCache>
                <c:formatCode>0</c:formatCode>
                <c:ptCount val="6"/>
                <c:pt idx="0">
                  <c:v>182</c:v>
                </c:pt>
                <c:pt idx="1">
                  <c:v>9</c:v>
                </c:pt>
                <c:pt idx="2">
                  <c:v>3</c:v>
                </c:pt>
                <c:pt idx="3">
                  <c:v>30</c:v>
                </c:pt>
                <c:pt idx="4">
                  <c:v>22</c:v>
                </c:pt>
                <c:pt idx="5">
                  <c:v>7</c:v>
                </c:pt>
              </c:numCache>
            </c:numRef>
          </c:val>
        </c:ser>
        <c:dLbls>
          <c:showVal val="1"/>
        </c:dLbls>
        <c:axId val="158734592"/>
        <c:axId val="158777344"/>
      </c:barChart>
      <c:catAx>
        <c:axId val="158734592"/>
        <c:scaling>
          <c:orientation val="minMax"/>
        </c:scaling>
        <c:axPos val="b"/>
        <c:numFmt formatCode="General" sourceLinked="1"/>
        <c:tickLblPos val="nextTo"/>
        <c:spPr>
          <a:ln w="3175">
            <a:solidFill>
              <a:srgbClr val="000000"/>
            </a:solidFill>
            <a:prstDash val="solid"/>
          </a:ln>
        </c:spPr>
        <c:txPr>
          <a:bodyPr rot="0" vert="horz"/>
          <a:lstStyle/>
          <a:p>
            <a:pPr>
              <a:defRPr sz="900">
                <a:solidFill>
                  <a:sysClr val="windowText" lastClr="000000"/>
                </a:solidFill>
                <a:latin typeface="Arial" pitchFamily="34" charset="0"/>
                <a:cs typeface="Arial" pitchFamily="34" charset="0"/>
              </a:defRPr>
            </a:pPr>
            <a:endParaRPr lang="en-US"/>
          </a:p>
        </c:txPr>
        <c:crossAx val="158777344"/>
        <c:crosses val="autoZero"/>
        <c:auto val="1"/>
        <c:lblAlgn val="ctr"/>
        <c:lblOffset val="100"/>
        <c:tickLblSkip val="1"/>
        <c:tickMarkSkip val="1"/>
      </c:catAx>
      <c:valAx>
        <c:axId val="158777344"/>
        <c:scaling>
          <c:orientation val="minMax"/>
          <c:max val="250"/>
          <c:min val="0"/>
        </c:scaling>
        <c:axPos val="l"/>
        <c:majorGridlines/>
        <c:numFmt formatCode="0" sourceLinked="0"/>
        <c:tickLblPos val="nextTo"/>
        <c:spPr>
          <a:ln w="3175">
            <a:solidFill>
              <a:srgbClr val="000000"/>
            </a:solidFill>
            <a:prstDash val="solid"/>
          </a:ln>
        </c:spPr>
        <c:txPr>
          <a:bodyPr rot="0" vert="horz"/>
          <a:lstStyle/>
          <a:p>
            <a:pPr>
              <a:defRPr sz="900">
                <a:solidFill>
                  <a:sysClr val="windowText" lastClr="000000"/>
                </a:solidFill>
                <a:latin typeface="Arial" pitchFamily="34" charset="0"/>
                <a:cs typeface="Arial" pitchFamily="34" charset="0"/>
              </a:defRPr>
            </a:pPr>
            <a:endParaRPr lang="en-US"/>
          </a:p>
        </c:txPr>
        <c:crossAx val="158734592"/>
        <c:crosses val="autoZero"/>
        <c:crossBetween val="between"/>
        <c:majorUnit val="50"/>
      </c:valAx>
      <c:spPr>
        <a:solidFill>
          <a:srgbClr val="FFFFFF"/>
        </a:solidFill>
        <a:ln w="12700">
          <a:solidFill>
            <a:srgbClr val="FFFFFF"/>
          </a:solidFill>
          <a:prstDash val="solid"/>
        </a:ln>
      </c:spPr>
    </c:plotArea>
    <c:legend>
      <c:legendPos val="r"/>
      <c:layout>
        <c:manualLayout>
          <c:xMode val="edge"/>
          <c:yMode val="edge"/>
          <c:x val="0.7625790579012276"/>
          <c:y val="2.8543573736186548E-2"/>
          <c:w val="0.20646046385223049"/>
          <c:h val="0.14371181618481391"/>
        </c:manualLayout>
      </c:layout>
      <c:overlay val="1"/>
      <c:spPr>
        <a:noFill/>
        <a:ln w="12700">
          <a:solidFill>
            <a:srgbClr val="4F81BD"/>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chart>
  <c:spPr>
    <a:noFill/>
    <a:ln w="9525" cap="flat">
      <a:solidFill>
        <a:sysClr val="windowText" lastClr="000000"/>
      </a:solidFill>
      <a:miter lim="800000"/>
    </a:ln>
    <a:effectLst>
      <a:outerShdw sx="1000" sy="1000" algn="ctr" rotWithShape="0">
        <a:sysClr val="window" lastClr="FFFFFF"/>
      </a:outerShdw>
    </a:effectLst>
  </c:spPr>
  <c:txPr>
    <a:bodyPr/>
    <a:lstStyle/>
    <a:p>
      <a:pPr>
        <a:defRPr sz="800" b="0" i="0" u="none" strike="noStrike" baseline="0">
          <a:solidFill>
            <a:srgbClr val="FF0000"/>
          </a:solidFill>
          <a:latin typeface="Times New Roman"/>
          <a:ea typeface="Times New Roman"/>
          <a:cs typeface="Times New Roman"/>
        </a:defRPr>
      </a:pPr>
      <a:endParaRPr lang="en-US"/>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6237988830698832E-2"/>
          <c:y val="7.1487243310516493E-2"/>
          <c:w val="0.9151425006863525"/>
          <c:h val="0.64821202139403655"/>
        </c:manualLayout>
      </c:layout>
      <c:barChart>
        <c:barDir val="col"/>
        <c:grouping val="clustered"/>
        <c:ser>
          <c:idx val="1"/>
          <c:order val="0"/>
          <c:tx>
            <c:strRef>
              <c:f>Sheet1!$A$3</c:f>
              <c:strCache>
                <c:ptCount val="1"/>
                <c:pt idx="0">
                  <c:v>0-5 Years</c:v>
                </c:pt>
              </c:strCache>
            </c:strRef>
          </c:tx>
          <c:spPr>
            <a:ln w="12700">
              <a:solidFill>
                <a:srgbClr val="FF00FF"/>
              </a:solidFill>
              <a:prstDash val="solid"/>
            </a:ln>
          </c:spPr>
          <c:dLbls>
            <c:dLbl>
              <c:idx val="0"/>
              <c:layout>
                <c:manualLayout>
                  <c:x val="-9.070782827998601E-4"/>
                  <c:y val="9.2683956397494206E-3"/>
                </c:manualLayout>
              </c:layout>
              <c:showVal val="1"/>
              <c:extLst>
                <c:ext xmlns:c15="http://schemas.microsoft.com/office/drawing/2012/chart" uri="{CE6537A1-D6FC-4f65-9D91-7224C49458BB}"/>
              </c:extLst>
            </c:dLbl>
            <c:dLbl>
              <c:idx val="1"/>
              <c:layout>
                <c:manualLayout>
                  <c:x val="-9.8639990071786748E-4"/>
                  <c:y val="2.2568598312040757E-2"/>
                </c:manualLayout>
              </c:layout>
              <c:showVal val="1"/>
              <c:extLst>
                <c:ext xmlns:c15="http://schemas.microsoft.com/office/drawing/2012/chart" uri="{CE6537A1-D6FC-4f65-9D91-7224C49458BB}"/>
              </c:extLst>
            </c:dLbl>
            <c:dLbl>
              <c:idx val="2"/>
              <c:layout>
                <c:manualLayout>
                  <c:x val="-4.4151471197679234E-3"/>
                  <c:y val="1.2618296529968416E-2"/>
                </c:manualLayout>
              </c:layout>
              <c:showVal val="1"/>
              <c:extLst>
                <c:ext xmlns:c15="http://schemas.microsoft.com/office/drawing/2012/chart" uri="{CE6537A1-D6FC-4f65-9D91-7224C49458BB}"/>
              </c:extLst>
            </c:dLbl>
            <c:dLbl>
              <c:idx val="3"/>
              <c:layout>
                <c:manualLayout>
                  <c:x val="-2.9154175633259202E-3"/>
                  <c:y val="4.8661800486618006E-3"/>
                </c:manualLayout>
              </c:layout>
              <c:showVal val="1"/>
              <c:extLst>
                <c:ext xmlns:c15="http://schemas.microsoft.com/office/drawing/2012/chart" uri="{CE6537A1-D6FC-4f65-9D91-7224C49458BB}"/>
              </c:extLst>
            </c:dLbl>
            <c:dLbl>
              <c:idx val="4"/>
              <c:layout>
                <c:manualLayout>
                  <c:x val="-6.6135812969736821E-3"/>
                  <c:y val="-1.5115907948102541E-2"/>
                </c:manualLayout>
              </c:layout>
              <c:showVal val="1"/>
              <c:extLst>
                <c:ext xmlns:c15="http://schemas.microsoft.com/office/drawing/2012/chart" uri="{CE6537A1-D6FC-4f65-9D91-7224C49458BB}"/>
              </c:extLst>
            </c:dLbl>
            <c:dLbl>
              <c:idx val="5"/>
              <c:layout>
                <c:manualLayout>
                  <c:x val="2.2237760534889808E-3"/>
                  <c:y val="-2.0240984351899988E-2"/>
                </c:manualLayout>
              </c:layout>
              <c:showVal val="1"/>
              <c:extLst>
                <c:ext xmlns:c15="http://schemas.microsoft.com/office/drawing/2012/chart" uri="{CE6537A1-D6FC-4f65-9D91-7224C49458BB}"/>
              </c:extLst>
            </c:dLbl>
            <c:dLbl>
              <c:idx val="6"/>
              <c:layout>
                <c:manualLayout>
                  <c:x val="-1.9867549668875606E-2"/>
                  <c:y val="-5.8394160583941833E-2"/>
                </c:manualLayout>
              </c:layout>
              <c:showVal val="1"/>
              <c:extLst>
                <c:ext xmlns:c15="http://schemas.microsoft.com/office/drawing/2012/chart" uri="{CE6537A1-D6FC-4f65-9D91-7224C49458BB}"/>
              </c:extLst>
            </c:dLbl>
            <c:dLbl>
              <c:idx val="7"/>
              <c:layout>
                <c:manualLayout>
                  <c:x val="-2.4282560706401772E-2"/>
                  <c:y val="-5.8394160583941833E-2"/>
                </c:manualLayout>
              </c:layout>
              <c:showVal val="1"/>
              <c:extLst>
                <c:ext xmlns:c15="http://schemas.microsoft.com/office/drawing/2012/chart" uri="{CE6537A1-D6FC-4f65-9D91-7224C49458BB}"/>
              </c:extLst>
            </c:dLbl>
            <c:dLbl>
              <c:idx val="8"/>
              <c:layout>
                <c:manualLayout>
                  <c:x val="-1.9867549668875606E-2"/>
                  <c:y val="-5.8394160583941833E-2"/>
                </c:manualLayout>
              </c:layout>
              <c:showVal val="1"/>
              <c:extLst>
                <c:ext xmlns:c15="http://schemas.microsoft.com/office/drawing/2012/chart" uri="{CE6537A1-D6FC-4f65-9D91-7224C49458BB}"/>
              </c:extLst>
            </c:dLbl>
            <c:dLbl>
              <c:idx val="9"/>
              <c:layout>
                <c:manualLayout>
                  <c:x val="-1.7660044150110295E-2"/>
                  <c:y val="-5.3527980535279802E-2"/>
                </c:manualLayout>
              </c:layout>
              <c:showVal val="1"/>
              <c:extLst>
                <c:ext xmlns:c15="http://schemas.microsoft.com/office/drawing/2012/chart" uri="{CE6537A1-D6FC-4f65-9D91-7224C49458BB}"/>
              </c:extLst>
            </c:dLbl>
            <c:dLbl>
              <c:idx val="10"/>
              <c:layout>
                <c:manualLayout>
                  <c:x val="-1.7660044150110375E-2"/>
                  <c:y val="-5.8394160583941833E-2"/>
                </c:manualLayout>
              </c:layout>
              <c:showVal val="1"/>
              <c:extLst>
                <c:ext xmlns:c15="http://schemas.microsoft.com/office/drawing/2012/chart" uri="{CE6537A1-D6FC-4f65-9D91-7224C49458BB}"/>
              </c:extLst>
            </c:dLbl>
            <c:dLbl>
              <c:idx val="11"/>
              <c:layout>
                <c:manualLayout>
                  <c:x val="-2.4282560706401772E-2"/>
                  <c:y val="-4.3795620437957032E-2"/>
                </c:manualLayout>
              </c:layout>
              <c:showVal val="1"/>
              <c:extLst>
                <c:ext xmlns:c15="http://schemas.microsoft.com/office/drawing/2012/chart" uri="{CE6537A1-D6FC-4f65-9D91-7224C49458BB}"/>
              </c:extLst>
            </c:dLbl>
            <c:dLbl>
              <c:idx val="12"/>
              <c:layout>
                <c:manualLayout>
                  <c:x val="-2.4282560706401772E-2"/>
                  <c:y val="-5.3527980535279802E-2"/>
                </c:manualLayout>
              </c:layout>
              <c:showVal val="1"/>
              <c:extLst>
                <c:ext xmlns:c15="http://schemas.microsoft.com/office/drawing/2012/chart" uri="{CE6537A1-D6FC-4f65-9D91-7224C49458BB}"/>
              </c:extLst>
            </c:dLbl>
            <c:dLbl>
              <c:idx val="13"/>
              <c:layout>
                <c:manualLayout>
                  <c:x val="-1.9867549668875606E-2"/>
                  <c:y val="-5.3527980535279802E-2"/>
                </c:manualLayout>
              </c:layout>
              <c:showVal val="1"/>
              <c:extLst>
                <c:ext xmlns:c15="http://schemas.microsoft.com/office/drawing/2012/chart" uri="{CE6537A1-D6FC-4f65-9D91-7224C49458BB}"/>
              </c:extLst>
            </c:dLbl>
            <c:dLbl>
              <c:idx val="14"/>
              <c:layout>
                <c:manualLayout>
                  <c:x val="-1.9867549668875606E-2"/>
                  <c:y val="-5.3527980535279802E-2"/>
                </c:manualLayout>
              </c:layout>
              <c:showVal val="1"/>
              <c:extLst>
                <c:ext xmlns:c15="http://schemas.microsoft.com/office/drawing/2012/chart" uri="{CE6537A1-D6FC-4f65-9D91-7224C49458BB}"/>
              </c:extLst>
            </c:dLbl>
            <c:spPr>
              <a:noFill/>
              <a:ln>
                <a:noFill/>
              </a:ln>
              <a:effectLst/>
            </c:spPr>
            <c:txPr>
              <a:bodyPr/>
              <a:lstStyle/>
              <a:p>
                <a:pPr>
                  <a:defRPr sz="900">
                    <a:solidFill>
                      <a:sysClr val="windowText" lastClr="000000"/>
                    </a:solidFill>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1">
                    <c:v>Sexual</c:v>
                  </c:pt>
                  <c:pt idx="2">
                    <c:v>Economic</c:v>
                  </c:pt>
                  <c:pt idx="4">
                    <c:v>Harrassment</c:v>
                  </c:pt>
                  <c:pt idx="5">
                    <c:v>Complete Assault</c:v>
                  </c:pt>
                </c:lvl>
                <c:lvl>
                  <c:pt idx="0">
                    <c:v>Neglect or emotional abuse</c:v>
                  </c:pt>
                  <c:pt idx="1">
                    <c:v>exploitation</c:v>
                  </c:pt>
                  <c:pt idx="3">
                    <c:v>Physical abuse</c:v>
                  </c:pt>
                  <c:pt idx="4">
                    <c:v>sexual abuse</c:v>
                  </c:pt>
                </c:lvl>
              </c:multiLvlStrCache>
            </c:multiLvlStrRef>
          </c:cat>
          <c:val>
            <c:numRef>
              <c:f>Sheet1!$B$3:$G$3</c:f>
              <c:numCache>
                <c:formatCode>0</c:formatCode>
                <c:ptCount val="6"/>
                <c:pt idx="0">
                  <c:v>91</c:v>
                </c:pt>
                <c:pt idx="1">
                  <c:v>0</c:v>
                </c:pt>
                <c:pt idx="2">
                  <c:v>0</c:v>
                </c:pt>
                <c:pt idx="3">
                  <c:v>8</c:v>
                </c:pt>
                <c:pt idx="4">
                  <c:v>2</c:v>
                </c:pt>
                <c:pt idx="5">
                  <c:v>0</c:v>
                </c:pt>
              </c:numCache>
            </c:numRef>
          </c:val>
        </c:ser>
        <c:ser>
          <c:idx val="0"/>
          <c:order val="1"/>
          <c:tx>
            <c:strRef>
              <c:f>Sheet1!$A$4</c:f>
              <c:strCache>
                <c:ptCount val="1"/>
                <c:pt idx="0">
                  <c:v>6-12 years</c:v>
                </c:pt>
              </c:strCache>
            </c:strRef>
          </c:tx>
          <c:spPr>
            <a:solidFill>
              <a:srgbClr val="1F497D">
                <a:lumMod val="20000"/>
                <a:lumOff val="80000"/>
              </a:srgbClr>
            </a:solidFill>
          </c:spPr>
          <c:dLbls>
            <c:dLbl>
              <c:idx val="1"/>
              <c:layout>
                <c:manualLayout>
                  <c:x val="6.7834736793689013E-3"/>
                  <c:y val="1.3010575711817499E-2"/>
                </c:manualLayout>
              </c:layout>
              <c:showVal val="1"/>
              <c:extLst>
                <c:ext xmlns:c15="http://schemas.microsoft.com/office/drawing/2012/chart" uri="{CE6537A1-D6FC-4f65-9D91-7224C49458BB}"/>
              </c:extLst>
            </c:dLbl>
            <c:dLbl>
              <c:idx val="2"/>
              <c:layout>
                <c:manualLayout>
                  <c:x val="4.5904131927299524E-3"/>
                  <c:y val="1.7172881328848463E-2"/>
                </c:manualLayout>
              </c:layout>
              <c:showVal val="1"/>
              <c:extLst>
                <c:ext xmlns:c15="http://schemas.microsoft.com/office/drawing/2012/chart" uri="{CE6537A1-D6FC-4f65-9D91-7224C49458BB}"/>
              </c:extLst>
            </c:dLbl>
            <c:dLbl>
              <c:idx val="3"/>
              <c:layout>
                <c:manualLayout>
                  <c:x val="2.2952933815048792E-3"/>
                  <c:y val="1.3010575711817473E-2"/>
                </c:manualLayout>
              </c:layout>
              <c:showVal val="1"/>
              <c:extLst>
                <c:ext xmlns:c15="http://schemas.microsoft.com/office/drawing/2012/chart" uri="{CE6537A1-D6FC-4f65-9D91-7224C49458BB}"/>
              </c:extLst>
            </c:dLbl>
            <c:spPr>
              <a:noFill/>
              <a:ln>
                <a:noFill/>
              </a:ln>
              <a:effectLst/>
            </c:spPr>
            <c:txPr>
              <a:bodyPr/>
              <a:lstStyle/>
              <a:p>
                <a:pPr>
                  <a:defRPr sz="900">
                    <a:solidFill>
                      <a:sysClr val="windowText" lastClr="000000"/>
                    </a:solidFill>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1">
                    <c:v>Sexual</c:v>
                  </c:pt>
                  <c:pt idx="2">
                    <c:v>Economic</c:v>
                  </c:pt>
                  <c:pt idx="4">
                    <c:v>Harrassment</c:v>
                  </c:pt>
                  <c:pt idx="5">
                    <c:v>Complete Assault</c:v>
                  </c:pt>
                </c:lvl>
                <c:lvl>
                  <c:pt idx="0">
                    <c:v>Neglect or emotional abuse</c:v>
                  </c:pt>
                  <c:pt idx="1">
                    <c:v>exploitation</c:v>
                  </c:pt>
                  <c:pt idx="3">
                    <c:v>Physical abuse</c:v>
                  </c:pt>
                  <c:pt idx="4">
                    <c:v>sexual abuse</c:v>
                  </c:pt>
                </c:lvl>
              </c:multiLvlStrCache>
            </c:multiLvlStrRef>
          </c:cat>
          <c:val>
            <c:numRef>
              <c:f>Sheet1!$B$4:$G$4</c:f>
              <c:numCache>
                <c:formatCode>0</c:formatCode>
                <c:ptCount val="6"/>
                <c:pt idx="0">
                  <c:v>162</c:v>
                </c:pt>
                <c:pt idx="1">
                  <c:v>2</c:v>
                </c:pt>
                <c:pt idx="2">
                  <c:v>21</c:v>
                </c:pt>
                <c:pt idx="3">
                  <c:v>23</c:v>
                </c:pt>
                <c:pt idx="4">
                  <c:v>8</c:v>
                </c:pt>
                <c:pt idx="5">
                  <c:v>2</c:v>
                </c:pt>
              </c:numCache>
            </c:numRef>
          </c:val>
        </c:ser>
        <c:ser>
          <c:idx val="2"/>
          <c:order val="2"/>
          <c:tx>
            <c:strRef>
              <c:f>Sheet1!$A$5</c:f>
              <c:strCache>
                <c:ptCount val="1"/>
                <c:pt idx="0">
                  <c:v>13-15 years</c:v>
                </c:pt>
              </c:strCache>
            </c:strRef>
          </c:tx>
          <c:dLbls>
            <c:spPr>
              <a:noFill/>
              <a:ln>
                <a:noFill/>
              </a:ln>
              <a:effectLst/>
            </c:spPr>
            <c:txPr>
              <a:bodyPr/>
              <a:lstStyle/>
              <a:p>
                <a:pPr>
                  <a:defRPr sz="900">
                    <a:solidFill>
                      <a:sysClr val="windowText" lastClr="000000"/>
                    </a:solidFill>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1">
                    <c:v>Sexual</c:v>
                  </c:pt>
                  <c:pt idx="2">
                    <c:v>Economic</c:v>
                  </c:pt>
                  <c:pt idx="4">
                    <c:v>Harrassment</c:v>
                  </c:pt>
                  <c:pt idx="5">
                    <c:v>Complete Assault</c:v>
                  </c:pt>
                </c:lvl>
                <c:lvl>
                  <c:pt idx="0">
                    <c:v>Neglect or emotional abuse</c:v>
                  </c:pt>
                  <c:pt idx="1">
                    <c:v>exploitation</c:v>
                  </c:pt>
                  <c:pt idx="3">
                    <c:v>Physical abuse</c:v>
                  </c:pt>
                  <c:pt idx="4">
                    <c:v>sexual abuse</c:v>
                  </c:pt>
                </c:lvl>
              </c:multiLvlStrCache>
            </c:multiLvlStrRef>
          </c:cat>
          <c:val>
            <c:numRef>
              <c:f>Sheet1!$B$5:$G$5</c:f>
              <c:numCache>
                <c:formatCode>General</c:formatCode>
                <c:ptCount val="6"/>
                <c:pt idx="0">
                  <c:v>114</c:v>
                </c:pt>
                <c:pt idx="1">
                  <c:v>3</c:v>
                </c:pt>
                <c:pt idx="2">
                  <c:v>59</c:v>
                </c:pt>
                <c:pt idx="3">
                  <c:v>18</c:v>
                </c:pt>
                <c:pt idx="4">
                  <c:v>7</c:v>
                </c:pt>
                <c:pt idx="5">
                  <c:v>2</c:v>
                </c:pt>
              </c:numCache>
            </c:numRef>
          </c:val>
        </c:ser>
        <c:ser>
          <c:idx val="3"/>
          <c:order val="3"/>
          <c:tx>
            <c:strRef>
              <c:f>Sheet1!$A$6</c:f>
              <c:strCache>
                <c:ptCount val="1"/>
                <c:pt idx="0">
                  <c:v>16-18 years</c:v>
                </c:pt>
              </c:strCache>
            </c:strRef>
          </c:tx>
          <c:spPr>
            <a:solidFill>
              <a:schemeClr val="bg2">
                <a:lumMod val="75000"/>
              </a:schemeClr>
            </a:solidFill>
          </c:spPr>
          <c:dLbls>
            <c:spPr>
              <a:noFill/>
              <a:ln>
                <a:noFill/>
              </a:ln>
              <a:effectLst/>
            </c:spPr>
            <c:txPr>
              <a:bodyPr/>
              <a:lstStyle/>
              <a:p>
                <a:pPr>
                  <a:defRPr sz="900">
                    <a:solidFill>
                      <a:sysClr val="windowText" lastClr="000000"/>
                    </a:solidFill>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1">
                    <c:v>Sexual</c:v>
                  </c:pt>
                  <c:pt idx="2">
                    <c:v>Economic</c:v>
                  </c:pt>
                  <c:pt idx="4">
                    <c:v>Harrassment</c:v>
                  </c:pt>
                  <c:pt idx="5">
                    <c:v>Complete Assault</c:v>
                  </c:pt>
                </c:lvl>
                <c:lvl>
                  <c:pt idx="0">
                    <c:v>Neglect or emotional abuse</c:v>
                  </c:pt>
                  <c:pt idx="1">
                    <c:v>exploitation</c:v>
                  </c:pt>
                  <c:pt idx="3">
                    <c:v>Physical abuse</c:v>
                  </c:pt>
                  <c:pt idx="4">
                    <c:v>sexual abuse</c:v>
                  </c:pt>
                </c:lvl>
              </c:multiLvlStrCache>
            </c:multiLvlStrRef>
          </c:cat>
          <c:val>
            <c:numRef>
              <c:f>Sheet1!$B$6:$G$6</c:f>
              <c:numCache>
                <c:formatCode>General</c:formatCode>
                <c:ptCount val="6"/>
                <c:pt idx="0">
                  <c:v>40</c:v>
                </c:pt>
                <c:pt idx="1">
                  <c:v>6</c:v>
                </c:pt>
                <c:pt idx="2">
                  <c:v>11</c:v>
                </c:pt>
                <c:pt idx="3">
                  <c:v>10</c:v>
                </c:pt>
                <c:pt idx="4">
                  <c:v>9</c:v>
                </c:pt>
                <c:pt idx="5">
                  <c:v>6</c:v>
                </c:pt>
              </c:numCache>
            </c:numRef>
          </c:val>
        </c:ser>
        <c:dLbls>
          <c:showVal val="1"/>
        </c:dLbls>
        <c:gapWidth val="53"/>
        <c:axId val="191224832"/>
        <c:axId val="191640320"/>
      </c:barChart>
      <c:catAx>
        <c:axId val="191224832"/>
        <c:scaling>
          <c:orientation val="minMax"/>
        </c:scaling>
        <c:axPos val="b"/>
        <c:numFmt formatCode="General" sourceLinked="1"/>
        <c:tickLblPos val="nextTo"/>
        <c:spPr>
          <a:ln w="3175">
            <a:solidFill>
              <a:srgbClr val="000000"/>
            </a:solidFill>
            <a:prstDash val="solid"/>
          </a:ln>
        </c:spPr>
        <c:txPr>
          <a:bodyPr rot="0" vert="horz"/>
          <a:lstStyle/>
          <a:p>
            <a:pPr>
              <a:defRPr sz="900">
                <a:solidFill>
                  <a:sysClr val="windowText" lastClr="000000"/>
                </a:solidFill>
                <a:latin typeface="Arial" pitchFamily="34" charset="0"/>
                <a:cs typeface="Arial" pitchFamily="34" charset="0"/>
              </a:defRPr>
            </a:pPr>
            <a:endParaRPr lang="en-US"/>
          </a:p>
        </c:txPr>
        <c:crossAx val="191640320"/>
        <c:crosses val="autoZero"/>
        <c:auto val="1"/>
        <c:lblAlgn val="ctr"/>
        <c:lblOffset val="100"/>
        <c:tickLblSkip val="1"/>
        <c:tickMarkSkip val="1"/>
      </c:catAx>
      <c:valAx>
        <c:axId val="191640320"/>
        <c:scaling>
          <c:orientation val="minMax"/>
          <c:max val="180"/>
          <c:min val="0"/>
        </c:scaling>
        <c:axPos val="l"/>
        <c:majorGridlines/>
        <c:numFmt formatCode="0" sourceLinked="0"/>
        <c:tickLblPos val="nextTo"/>
        <c:spPr>
          <a:ln w="3175">
            <a:solidFill>
              <a:srgbClr val="000000"/>
            </a:solidFill>
            <a:prstDash val="solid"/>
          </a:ln>
        </c:spPr>
        <c:txPr>
          <a:bodyPr rot="0" vert="horz"/>
          <a:lstStyle/>
          <a:p>
            <a:pPr>
              <a:defRPr>
                <a:solidFill>
                  <a:sysClr val="windowText" lastClr="000000"/>
                </a:solidFill>
                <a:latin typeface="Arial" pitchFamily="34" charset="0"/>
                <a:cs typeface="Arial" pitchFamily="34" charset="0"/>
              </a:defRPr>
            </a:pPr>
            <a:endParaRPr lang="en-US"/>
          </a:p>
        </c:txPr>
        <c:crossAx val="191224832"/>
        <c:crosses val="autoZero"/>
        <c:crossBetween val="between"/>
        <c:majorUnit val="20"/>
      </c:valAx>
      <c:spPr>
        <a:solidFill>
          <a:srgbClr val="FFFFFF"/>
        </a:solidFill>
        <a:ln w="12700">
          <a:solidFill>
            <a:srgbClr val="FFFFFF"/>
          </a:solidFill>
          <a:prstDash val="solid"/>
        </a:ln>
      </c:spPr>
    </c:plotArea>
    <c:legend>
      <c:legendPos val="t"/>
      <c:layout>
        <c:manualLayout>
          <c:xMode val="edge"/>
          <c:yMode val="edge"/>
          <c:x val="0.7975357337716722"/>
          <c:y val="3.3275472439655812E-2"/>
          <c:w val="0.17949891052395694"/>
          <c:h val="0.37585344818174882"/>
        </c:manualLayout>
      </c:layout>
      <c:overlay val="1"/>
      <c:spPr>
        <a:noFill/>
        <a:ln w="9525">
          <a:solidFill>
            <a:srgbClr val="000000"/>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FF0000"/>
          </a:solidFill>
          <a:latin typeface="Times New Roman"/>
          <a:ea typeface="Times New Roman"/>
          <a:cs typeface="Times New Roman"/>
        </a:defRPr>
      </a:pPr>
      <a:endParaRPr lang="en-US"/>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8428132366336843E-2"/>
          <c:y val="6.1318936481749034E-2"/>
          <c:w val="0.91295223658502112"/>
          <c:h val="0.67654497614846043"/>
        </c:manualLayout>
      </c:layout>
      <c:barChart>
        <c:barDir val="col"/>
        <c:grouping val="clustered"/>
        <c:ser>
          <c:idx val="1"/>
          <c:order val="0"/>
          <c:tx>
            <c:strRef>
              <c:f>Sheet1!$A$3</c:f>
              <c:strCache>
                <c:ptCount val="1"/>
                <c:pt idx="0">
                  <c:v>within the family</c:v>
                </c:pt>
              </c:strCache>
            </c:strRef>
          </c:tx>
          <c:spPr>
            <a:solidFill>
              <a:srgbClr val="F79646">
                <a:lumMod val="20000"/>
                <a:lumOff val="80000"/>
              </a:srgbClr>
            </a:solidFill>
            <a:ln w="12700">
              <a:solidFill>
                <a:srgbClr val="FF00FF"/>
              </a:solidFill>
              <a:prstDash val="solid"/>
            </a:ln>
          </c:spPr>
          <c:dLbls>
            <c:dLbl>
              <c:idx val="0"/>
              <c:layout>
                <c:manualLayout>
                  <c:x val="-9.070782827998601E-4"/>
                  <c:y val="9.2683956397494206E-3"/>
                </c:manualLayout>
              </c:layout>
              <c:showVal val="1"/>
              <c:extLst>
                <c:ext xmlns:c15="http://schemas.microsoft.com/office/drawing/2012/chart" uri="{CE6537A1-D6FC-4f65-9D91-7224C49458BB}"/>
              </c:extLst>
            </c:dLbl>
            <c:dLbl>
              <c:idx val="1"/>
              <c:layout>
                <c:manualLayout>
                  <c:x val="-9.8639990071786748E-4"/>
                  <c:y val="2.2568598312040757E-2"/>
                </c:manualLayout>
              </c:layout>
              <c:showVal val="1"/>
              <c:extLst>
                <c:ext xmlns:c15="http://schemas.microsoft.com/office/drawing/2012/chart" uri="{CE6537A1-D6FC-4f65-9D91-7224C49458BB}"/>
              </c:extLst>
            </c:dLbl>
            <c:dLbl>
              <c:idx val="2"/>
              <c:layout>
                <c:manualLayout>
                  <c:x val="-4.4151471197679234E-3"/>
                  <c:y val="1.2618296529968416E-2"/>
                </c:manualLayout>
              </c:layout>
              <c:showVal val="1"/>
              <c:extLst>
                <c:ext xmlns:c15="http://schemas.microsoft.com/office/drawing/2012/chart" uri="{CE6537A1-D6FC-4f65-9D91-7224C49458BB}"/>
              </c:extLst>
            </c:dLbl>
            <c:dLbl>
              <c:idx val="3"/>
              <c:layout>
                <c:manualLayout>
                  <c:x val="-2.9154175633259202E-3"/>
                  <c:y val="4.8661800486618006E-3"/>
                </c:manualLayout>
              </c:layout>
              <c:showVal val="1"/>
              <c:extLst>
                <c:ext xmlns:c15="http://schemas.microsoft.com/office/drawing/2012/chart" uri="{CE6537A1-D6FC-4f65-9D91-7224C49458BB}"/>
              </c:extLst>
            </c:dLbl>
            <c:dLbl>
              <c:idx val="4"/>
              <c:layout>
                <c:manualLayout>
                  <c:x val="-2.2056420490498079E-3"/>
                  <c:y val="-2.0456338294770681E-2"/>
                </c:manualLayout>
              </c:layout>
              <c:showVal val="1"/>
              <c:extLst>
                <c:ext xmlns:c15="http://schemas.microsoft.com/office/drawing/2012/chart" uri="{CE6537A1-D6FC-4f65-9D91-7224C49458BB}"/>
              </c:extLst>
            </c:dLbl>
            <c:dLbl>
              <c:idx val="5"/>
              <c:layout>
                <c:manualLayout>
                  <c:x val="-2.2054682121922242E-3"/>
                  <c:y val="-2.2416746952912982E-2"/>
                </c:manualLayout>
              </c:layout>
              <c:showVal val="1"/>
              <c:extLst>
                <c:ext xmlns:c15="http://schemas.microsoft.com/office/drawing/2012/chart" uri="{CE6537A1-D6FC-4f65-9D91-7224C49458BB}"/>
              </c:extLst>
            </c:dLbl>
            <c:dLbl>
              <c:idx val="6"/>
              <c:layout>
                <c:manualLayout>
                  <c:x val="-1.9867549668875606E-2"/>
                  <c:y val="-5.8394160583941833E-2"/>
                </c:manualLayout>
              </c:layout>
              <c:showVal val="1"/>
              <c:extLst>
                <c:ext xmlns:c15="http://schemas.microsoft.com/office/drawing/2012/chart" uri="{CE6537A1-D6FC-4f65-9D91-7224C49458BB}"/>
              </c:extLst>
            </c:dLbl>
            <c:dLbl>
              <c:idx val="7"/>
              <c:layout>
                <c:manualLayout>
                  <c:x val="-2.4282560706401772E-2"/>
                  <c:y val="-5.8394160583941833E-2"/>
                </c:manualLayout>
              </c:layout>
              <c:showVal val="1"/>
              <c:extLst>
                <c:ext xmlns:c15="http://schemas.microsoft.com/office/drawing/2012/chart" uri="{CE6537A1-D6FC-4f65-9D91-7224C49458BB}"/>
              </c:extLst>
            </c:dLbl>
            <c:dLbl>
              <c:idx val="8"/>
              <c:layout>
                <c:manualLayout>
                  <c:x val="-1.9867549668875606E-2"/>
                  <c:y val="-5.8394160583941833E-2"/>
                </c:manualLayout>
              </c:layout>
              <c:showVal val="1"/>
              <c:extLst>
                <c:ext xmlns:c15="http://schemas.microsoft.com/office/drawing/2012/chart" uri="{CE6537A1-D6FC-4f65-9D91-7224C49458BB}"/>
              </c:extLst>
            </c:dLbl>
            <c:dLbl>
              <c:idx val="9"/>
              <c:layout>
                <c:manualLayout>
                  <c:x val="-1.7660044150110295E-2"/>
                  <c:y val="-5.3527980535279802E-2"/>
                </c:manualLayout>
              </c:layout>
              <c:showVal val="1"/>
              <c:extLst>
                <c:ext xmlns:c15="http://schemas.microsoft.com/office/drawing/2012/chart" uri="{CE6537A1-D6FC-4f65-9D91-7224C49458BB}"/>
              </c:extLst>
            </c:dLbl>
            <c:dLbl>
              <c:idx val="10"/>
              <c:layout>
                <c:manualLayout>
                  <c:x val="-1.7660044150110375E-2"/>
                  <c:y val="-5.8394160583941833E-2"/>
                </c:manualLayout>
              </c:layout>
              <c:showVal val="1"/>
              <c:extLst>
                <c:ext xmlns:c15="http://schemas.microsoft.com/office/drawing/2012/chart" uri="{CE6537A1-D6FC-4f65-9D91-7224C49458BB}"/>
              </c:extLst>
            </c:dLbl>
            <c:dLbl>
              <c:idx val="11"/>
              <c:layout>
                <c:manualLayout>
                  <c:x val="-2.4282560706401772E-2"/>
                  <c:y val="-4.3795620437957032E-2"/>
                </c:manualLayout>
              </c:layout>
              <c:showVal val="1"/>
              <c:extLst>
                <c:ext xmlns:c15="http://schemas.microsoft.com/office/drawing/2012/chart" uri="{CE6537A1-D6FC-4f65-9D91-7224C49458BB}"/>
              </c:extLst>
            </c:dLbl>
            <c:dLbl>
              <c:idx val="12"/>
              <c:layout>
                <c:manualLayout>
                  <c:x val="-2.4282560706401772E-2"/>
                  <c:y val="-5.3527980535279802E-2"/>
                </c:manualLayout>
              </c:layout>
              <c:showVal val="1"/>
              <c:extLst>
                <c:ext xmlns:c15="http://schemas.microsoft.com/office/drawing/2012/chart" uri="{CE6537A1-D6FC-4f65-9D91-7224C49458BB}"/>
              </c:extLst>
            </c:dLbl>
            <c:dLbl>
              <c:idx val="13"/>
              <c:layout>
                <c:manualLayout>
                  <c:x val="-1.9867549668875606E-2"/>
                  <c:y val="-5.3527980535279802E-2"/>
                </c:manualLayout>
              </c:layout>
              <c:showVal val="1"/>
              <c:extLst>
                <c:ext xmlns:c15="http://schemas.microsoft.com/office/drawing/2012/chart" uri="{CE6537A1-D6FC-4f65-9D91-7224C49458BB}"/>
              </c:extLst>
            </c:dLbl>
            <c:dLbl>
              <c:idx val="14"/>
              <c:layout>
                <c:manualLayout>
                  <c:x val="-1.9867549668875606E-2"/>
                  <c:y val="-5.3527980535279802E-2"/>
                </c:manualLayout>
              </c:layout>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1">
                    <c:v>Sexual</c:v>
                  </c:pt>
                  <c:pt idx="2">
                    <c:v>Economic</c:v>
                  </c:pt>
                  <c:pt idx="4">
                    <c:v>Harrassment</c:v>
                  </c:pt>
                  <c:pt idx="5">
                    <c:v>Complete Assault</c:v>
                  </c:pt>
                </c:lvl>
                <c:lvl>
                  <c:pt idx="0">
                    <c:v>Neglect or emotional abuse</c:v>
                  </c:pt>
                  <c:pt idx="1">
                    <c:v>exploitation</c:v>
                  </c:pt>
                  <c:pt idx="3">
                    <c:v>Physical abuse</c:v>
                  </c:pt>
                  <c:pt idx="4">
                    <c:v>sexual abuse</c:v>
                  </c:pt>
                </c:lvl>
              </c:multiLvlStrCache>
            </c:multiLvlStrRef>
          </c:cat>
          <c:val>
            <c:numRef>
              <c:f>Sheet1!$B$3:$G$3</c:f>
              <c:numCache>
                <c:formatCode>0</c:formatCode>
                <c:ptCount val="6"/>
                <c:pt idx="0">
                  <c:v>382</c:v>
                </c:pt>
                <c:pt idx="1">
                  <c:v>0</c:v>
                </c:pt>
                <c:pt idx="2">
                  <c:v>76</c:v>
                </c:pt>
                <c:pt idx="3">
                  <c:v>47</c:v>
                </c:pt>
                <c:pt idx="4">
                  <c:v>4</c:v>
                </c:pt>
                <c:pt idx="5">
                  <c:v>1</c:v>
                </c:pt>
              </c:numCache>
            </c:numRef>
          </c:val>
        </c:ser>
        <c:ser>
          <c:idx val="0"/>
          <c:order val="1"/>
          <c:tx>
            <c:strRef>
              <c:f>Sheet1!$A$4</c:f>
              <c:strCache>
                <c:ptCount val="1"/>
                <c:pt idx="0">
                  <c:v>outside the family</c:v>
                </c:pt>
              </c:strCache>
            </c:strRef>
          </c:tx>
          <c:dLbls>
            <c:dLbl>
              <c:idx val="1"/>
              <c:layout>
                <c:manualLayout>
                  <c:x val="6.7834736793689013E-3"/>
                  <c:y val="1.3010575711817499E-2"/>
                </c:manualLayout>
              </c:layout>
              <c:showVal val="1"/>
              <c:extLst>
                <c:ext xmlns:c15="http://schemas.microsoft.com/office/drawing/2012/chart" uri="{CE6537A1-D6FC-4f65-9D91-7224C49458BB}"/>
              </c:extLst>
            </c:dLbl>
            <c:dLbl>
              <c:idx val="2"/>
              <c:layout>
                <c:manualLayout>
                  <c:x val="4.5904131927299524E-3"/>
                  <c:y val="1.7172881328848463E-2"/>
                </c:manualLayout>
              </c:layout>
              <c:showVal val="1"/>
              <c:extLst>
                <c:ext xmlns:c15="http://schemas.microsoft.com/office/drawing/2012/chart" uri="{CE6537A1-D6FC-4f65-9D91-7224C49458BB}"/>
              </c:extLst>
            </c:dLbl>
            <c:dLbl>
              <c:idx val="3"/>
              <c:layout>
                <c:manualLayout>
                  <c:x val="2.2952933815048792E-3"/>
                  <c:y val="1.3010575711817473E-2"/>
                </c:manualLayout>
              </c:layout>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1">
                    <c:v>Sexual</c:v>
                  </c:pt>
                  <c:pt idx="2">
                    <c:v>Economic</c:v>
                  </c:pt>
                  <c:pt idx="4">
                    <c:v>Harrassment</c:v>
                  </c:pt>
                  <c:pt idx="5">
                    <c:v>Complete Assault</c:v>
                  </c:pt>
                </c:lvl>
                <c:lvl>
                  <c:pt idx="0">
                    <c:v>Neglect or emotional abuse</c:v>
                  </c:pt>
                  <c:pt idx="1">
                    <c:v>exploitation</c:v>
                  </c:pt>
                  <c:pt idx="3">
                    <c:v>Physical abuse</c:v>
                  </c:pt>
                  <c:pt idx="4">
                    <c:v>sexual abuse</c:v>
                  </c:pt>
                </c:lvl>
              </c:multiLvlStrCache>
            </c:multiLvlStrRef>
          </c:cat>
          <c:val>
            <c:numRef>
              <c:f>Sheet1!$B$4:$G$4</c:f>
              <c:numCache>
                <c:formatCode>0</c:formatCode>
                <c:ptCount val="6"/>
                <c:pt idx="0">
                  <c:v>25</c:v>
                </c:pt>
                <c:pt idx="1">
                  <c:v>11</c:v>
                </c:pt>
                <c:pt idx="2">
                  <c:v>15</c:v>
                </c:pt>
                <c:pt idx="3">
                  <c:v>12</c:v>
                </c:pt>
                <c:pt idx="4">
                  <c:v>22</c:v>
                </c:pt>
                <c:pt idx="5">
                  <c:v>9</c:v>
                </c:pt>
              </c:numCache>
            </c:numRef>
          </c:val>
        </c:ser>
        <c:dLbls>
          <c:showVal val="1"/>
        </c:dLbls>
        <c:axId val="191501824"/>
        <c:axId val="191503360"/>
      </c:barChart>
      <c:catAx>
        <c:axId val="191501824"/>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91503360"/>
        <c:crosses val="autoZero"/>
        <c:auto val="1"/>
        <c:lblAlgn val="ctr"/>
        <c:lblOffset val="100"/>
        <c:tickLblSkip val="1"/>
        <c:tickMarkSkip val="1"/>
      </c:catAx>
      <c:valAx>
        <c:axId val="191503360"/>
        <c:scaling>
          <c:orientation val="minMax"/>
          <c:max val="400"/>
          <c:min val="0"/>
        </c:scaling>
        <c:axPos val="l"/>
        <c:majorGridlines/>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Arial"/>
                <a:cs typeface="Arial" pitchFamily="34" charset="0"/>
              </a:defRPr>
            </a:pPr>
            <a:endParaRPr lang="en-US"/>
          </a:p>
        </c:txPr>
        <c:crossAx val="191501824"/>
        <c:crosses val="autoZero"/>
        <c:crossBetween val="between"/>
        <c:majorUnit val="50"/>
      </c:valAx>
      <c:spPr>
        <a:solidFill>
          <a:srgbClr val="FFFFFF"/>
        </a:solidFill>
        <a:ln w="12700">
          <a:solidFill>
            <a:srgbClr val="FFFFFF"/>
          </a:solidFill>
          <a:prstDash val="solid"/>
        </a:ln>
      </c:spPr>
    </c:plotArea>
    <c:legend>
      <c:legendPos val="r"/>
      <c:layout>
        <c:manualLayout>
          <c:xMode val="edge"/>
          <c:yMode val="edge"/>
          <c:x val="0.79237368906218908"/>
          <c:y val="2.7429181558100011E-2"/>
          <c:w val="0.1828715999892267"/>
          <c:h val="0.31887997125777101"/>
        </c:manualLayout>
      </c:layout>
      <c:overlay val="1"/>
      <c:spPr>
        <a:noFill/>
        <a:ln w="12700">
          <a:solidFill>
            <a:srgbClr val="000000"/>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5959595959598798E-2"/>
          <c:y val="0.16031424643348174"/>
          <c:w val="0.87542087542090063"/>
          <c:h val="0.47458960487083462"/>
        </c:manualLayout>
      </c:layout>
      <c:barChart>
        <c:barDir val="col"/>
        <c:grouping val="clustered"/>
        <c:ser>
          <c:idx val="1"/>
          <c:order val="0"/>
          <c:tx>
            <c:strRef>
              <c:f>Sheet1!$A$3</c:f>
              <c:strCache>
                <c:ptCount val="1"/>
                <c:pt idx="0">
                  <c:v>Female</c:v>
                </c:pt>
              </c:strCache>
            </c:strRef>
          </c:tx>
          <c:spPr>
            <a:ln w="12700">
              <a:noFill/>
              <a:prstDash val="solid"/>
            </a:ln>
          </c:spPr>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Teacher</c:v>
                  </c:pt>
                  <c:pt idx="1">
                    <c:v>Occupation forces and settlers</c:v>
                  </c:pt>
                  <c:pt idx="2">
                    <c:v>Teacher</c:v>
                  </c:pt>
                  <c:pt idx="3">
                    <c:v>Occupation forces and settlers</c:v>
                  </c:pt>
                  <c:pt idx="4">
                    <c:v>Teacher</c:v>
                  </c:pt>
                  <c:pt idx="5">
                    <c:v>Occupation forces and settlers</c:v>
                  </c:pt>
                </c:lvl>
                <c:lvl>
                  <c:pt idx="0">
                    <c:v>Palestine</c:v>
                  </c:pt>
                  <c:pt idx="2">
                    <c:v>West Bank</c:v>
                  </c:pt>
                  <c:pt idx="4">
                    <c:v>Gaza Strip</c:v>
                  </c:pt>
                </c:lvl>
              </c:multiLvlStrCache>
            </c:multiLvlStrRef>
          </c:cat>
          <c:val>
            <c:numRef>
              <c:f>Sheet1!$B$3:$G$3</c:f>
              <c:numCache>
                <c:formatCode>#,##0.0</c:formatCode>
                <c:ptCount val="6"/>
                <c:pt idx="0">
                  <c:v>10.9</c:v>
                </c:pt>
                <c:pt idx="1">
                  <c:v>0.4</c:v>
                </c:pt>
                <c:pt idx="2">
                  <c:v>8.9</c:v>
                </c:pt>
                <c:pt idx="3">
                  <c:v>0.70000000000000062</c:v>
                </c:pt>
                <c:pt idx="4">
                  <c:v>14</c:v>
                </c:pt>
                <c:pt idx="5">
                  <c:v>0</c:v>
                </c:pt>
              </c:numCache>
            </c:numRef>
          </c:val>
        </c:ser>
        <c:ser>
          <c:idx val="3"/>
          <c:order val="1"/>
          <c:tx>
            <c:strRef>
              <c:f>Sheet1!$A$4</c:f>
              <c:strCache>
                <c:ptCount val="1"/>
                <c:pt idx="0">
                  <c:v>Male</c:v>
                </c:pt>
              </c:strCache>
            </c:strRef>
          </c:tx>
          <c:spPr>
            <a:ln w="12700">
              <a:noFill/>
              <a:prstDash val="solid"/>
            </a:ln>
            <a:effectLst>
              <a:outerShdw blurRad="50800" dist="50800" dir="5400000" algn="ctr" rotWithShape="0">
                <a:schemeClr val="accent3"/>
              </a:outerShdw>
            </a:effectLst>
          </c:spPr>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Sheet1!$B$1:$G$2</c:f>
              <c:multiLvlStrCache>
                <c:ptCount val="6"/>
                <c:lvl>
                  <c:pt idx="0">
                    <c:v>Teacher</c:v>
                  </c:pt>
                  <c:pt idx="1">
                    <c:v>Occupation forces and settlers</c:v>
                  </c:pt>
                  <c:pt idx="2">
                    <c:v>Teacher</c:v>
                  </c:pt>
                  <c:pt idx="3">
                    <c:v>Occupation forces and settlers</c:v>
                  </c:pt>
                  <c:pt idx="4">
                    <c:v>Teacher</c:v>
                  </c:pt>
                  <c:pt idx="5">
                    <c:v>Occupation forces and settlers</c:v>
                  </c:pt>
                </c:lvl>
                <c:lvl>
                  <c:pt idx="0">
                    <c:v>Palestine</c:v>
                  </c:pt>
                  <c:pt idx="2">
                    <c:v>West Bank</c:v>
                  </c:pt>
                  <c:pt idx="4">
                    <c:v>Gaza Strip</c:v>
                  </c:pt>
                </c:lvl>
              </c:multiLvlStrCache>
            </c:multiLvlStrRef>
          </c:cat>
          <c:val>
            <c:numRef>
              <c:f>Sheet1!$B$4:$G$4</c:f>
              <c:numCache>
                <c:formatCode>#,##0.0</c:formatCode>
                <c:ptCount val="6"/>
                <c:pt idx="0">
                  <c:v>31.4</c:v>
                </c:pt>
                <c:pt idx="1">
                  <c:v>3.3</c:v>
                </c:pt>
                <c:pt idx="2">
                  <c:v>31</c:v>
                </c:pt>
                <c:pt idx="3">
                  <c:v>5.2</c:v>
                </c:pt>
                <c:pt idx="4">
                  <c:v>32.1</c:v>
                </c:pt>
                <c:pt idx="5">
                  <c:v>0.30000000000000032</c:v>
                </c:pt>
              </c:numCache>
            </c:numRef>
          </c:val>
        </c:ser>
        <c:dLbls>
          <c:showVal val="1"/>
        </c:dLbls>
        <c:axId val="191746432"/>
        <c:axId val="191747968"/>
      </c:barChart>
      <c:catAx>
        <c:axId val="191746432"/>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pitchFamily="34" charset="0"/>
                <a:ea typeface="Times New Roman"/>
                <a:cs typeface="Arial" pitchFamily="34" charset="0"/>
              </a:defRPr>
            </a:pPr>
            <a:endParaRPr lang="en-US"/>
          </a:p>
        </c:txPr>
        <c:crossAx val="191747968"/>
        <c:crosses val="autoZero"/>
        <c:auto val="1"/>
        <c:lblAlgn val="ctr"/>
        <c:lblOffset val="100"/>
        <c:tickLblSkip val="1"/>
        <c:tickMarkSkip val="1"/>
      </c:catAx>
      <c:valAx>
        <c:axId val="191747968"/>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91746432"/>
        <c:crosses val="autoZero"/>
        <c:crossBetween val="between"/>
      </c:valAx>
      <c:spPr>
        <a:noFill/>
        <a:ln w="25400">
          <a:noFill/>
        </a:ln>
      </c:spPr>
    </c:plotArea>
    <c:legend>
      <c:legendPos val="t"/>
      <c:overlay val="1"/>
      <c:spPr>
        <a:noFill/>
        <a:ln w="12700">
          <a:solidFill>
            <a:schemeClr val="accent1"/>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style val="3"/>
  <c:chart>
    <c:autoTitleDeleted val="1"/>
    <c:plotArea>
      <c:layout>
        <c:manualLayout>
          <c:layoutTarget val="inner"/>
          <c:xMode val="edge"/>
          <c:yMode val="edge"/>
          <c:x val="7.3991673554551524E-2"/>
          <c:y val="6.414336104075391E-2"/>
          <c:w val="0.91914712195313186"/>
          <c:h val="0.78722563121639044"/>
        </c:manualLayout>
      </c:layout>
      <c:barChart>
        <c:barDir val="col"/>
        <c:grouping val="clustered"/>
        <c:ser>
          <c:idx val="1"/>
          <c:order val="0"/>
          <c:dLbls>
            <c:spPr>
              <a:noFill/>
              <a:ln>
                <a:noFill/>
              </a:ln>
              <a:effectLst/>
            </c:spPr>
            <c:dLblPos val="outEnd"/>
            <c:showVal val="1"/>
            <c:extLst>
              <c:ext xmlns:c15="http://schemas.microsoft.com/office/drawing/2012/chart" uri="{CE6537A1-D6FC-4f65-9D91-7224C49458BB}">
                <c15:showLeaderLines val="0"/>
              </c:ext>
            </c:extLst>
          </c:dLbls>
          <c:cat>
            <c:strRef>
              <c:f>Sheet1!$B$1:$F$1</c:f>
              <c:strCache>
                <c:ptCount val="5"/>
                <c:pt idx="0">
                  <c:v>Poorest</c:v>
                </c:pt>
                <c:pt idx="1">
                  <c:v>second</c:v>
                </c:pt>
                <c:pt idx="2">
                  <c:v>middle</c:v>
                </c:pt>
                <c:pt idx="3">
                  <c:v>fourth</c:v>
                </c:pt>
                <c:pt idx="4">
                  <c:v>richest</c:v>
                </c:pt>
              </c:strCache>
            </c:strRef>
          </c:cat>
          <c:val>
            <c:numRef>
              <c:f>Sheet1!$B$2:$F$2</c:f>
              <c:numCache>
                <c:formatCode>####.0</c:formatCode>
                <c:ptCount val="5"/>
                <c:pt idx="0">
                  <c:v>20.664315750274991</c:v>
                </c:pt>
                <c:pt idx="1">
                  <c:v>24.366724310566703</c:v>
                </c:pt>
                <c:pt idx="2">
                  <c:v>22.824236545681789</c:v>
                </c:pt>
                <c:pt idx="3">
                  <c:v>28.617822340434635</c:v>
                </c:pt>
                <c:pt idx="4">
                  <c:v>39.379820501167494</c:v>
                </c:pt>
              </c:numCache>
            </c:numRef>
          </c:val>
        </c:ser>
        <c:axId val="198516736"/>
        <c:axId val="198518272"/>
      </c:barChart>
      <c:catAx>
        <c:axId val="198516736"/>
        <c:scaling>
          <c:orientation val="minMax"/>
        </c:scaling>
        <c:axPos val="b"/>
        <c:numFmt formatCode="General" sourceLinked="1"/>
        <c:tickLblPos val="nextTo"/>
        <c:txPr>
          <a:bodyPr rot="0" vert="horz"/>
          <a:lstStyle/>
          <a:p>
            <a:pPr>
              <a:defRPr/>
            </a:pPr>
            <a:endParaRPr lang="en-US"/>
          </a:p>
        </c:txPr>
        <c:crossAx val="198518272"/>
        <c:crosses val="autoZero"/>
        <c:auto val="1"/>
        <c:lblAlgn val="ctr"/>
        <c:lblOffset val="100"/>
        <c:tickLblSkip val="1"/>
        <c:tickMarkSkip val="1"/>
      </c:catAx>
      <c:valAx>
        <c:axId val="198518272"/>
        <c:scaling>
          <c:orientation val="minMax"/>
          <c:max val="40"/>
          <c:min val="0"/>
        </c:scaling>
        <c:axPos val="l"/>
        <c:majorGridlines/>
        <c:numFmt formatCode="#,##0" sourceLinked="0"/>
        <c:tickLblPos val="nextTo"/>
        <c:txPr>
          <a:bodyPr rot="0" vert="horz"/>
          <a:lstStyle/>
          <a:p>
            <a:pPr>
              <a:defRPr/>
            </a:pPr>
            <a:endParaRPr lang="en-US"/>
          </a:p>
        </c:txPr>
        <c:crossAx val="198516736"/>
        <c:crosses val="autoZero"/>
        <c:crossBetween val="between"/>
      </c:valAx>
    </c:plotArea>
    <c:plotVisOnly val="1"/>
    <c:dispBlanksAs val="gap"/>
  </c:chart>
  <c:externalData r:id="rId1"/>
  <c:userShapes r:id="rId2"/>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5959595959598798E-2"/>
          <c:y val="0.18164745406824381"/>
          <c:w val="0.87542087542090063"/>
          <c:h val="0.61757354330708669"/>
        </c:manualLayout>
      </c:layout>
      <c:barChart>
        <c:barDir val="col"/>
        <c:grouping val="clustered"/>
        <c:ser>
          <c:idx val="1"/>
          <c:order val="0"/>
          <c:tx>
            <c:strRef>
              <c:f>Sheet1!$A$3</c:f>
              <c:strCache>
                <c:ptCount val="1"/>
                <c:pt idx="0">
                  <c:v>Both sexes West Bank</c:v>
                </c:pt>
              </c:strCache>
            </c:strRef>
          </c:tx>
          <c:spPr>
            <a:solidFill>
              <a:schemeClr val="bg2">
                <a:lumMod val="75000"/>
              </a:schemeClr>
            </a:solidFill>
            <a:ln w="12700">
              <a:noFill/>
              <a:prstDash val="solid"/>
            </a:ln>
          </c:spPr>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Psychological abuse</c:v>
                  </c:pt>
                  <c:pt idx="1">
                    <c:v>Physical abuse</c:v>
                  </c:pt>
                  <c:pt idx="2">
                    <c:v>Psychological abuse</c:v>
                  </c:pt>
                  <c:pt idx="3">
                    <c:v>Physical abuse</c:v>
                  </c:pt>
                </c:lvl>
                <c:lvl>
                  <c:pt idx="0">
                    <c:v>Father</c:v>
                  </c:pt>
                  <c:pt idx="2">
                    <c:v>Mother</c:v>
                  </c:pt>
                </c:lvl>
              </c:multiLvlStrCache>
            </c:multiLvlStrRef>
          </c:cat>
          <c:val>
            <c:numRef>
              <c:f>Sheet1!$B$3:$E$3</c:f>
              <c:numCache>
                <c:formatCode>#,##0.0</c:formatCode>
                <c:ptCount val="4"/>
                <c:pt idx="0">
                  <c:v>64.599999999999994</c:v>
                </c:pt>
                <c:pt idx="1">
                  <c:v>28.7</c:v>
                </c:pt>
                <c:pt idx="2">
                  <c:v>61.9</c:v>
                </c:pt>
                <c:pt idx="3">
                  <c:v>27.7</c:v>
                </c:pt>
              </c:numCache>
            </c:numRef>
          </c:val>
        </c:ser>
        <c:ser>
          <c:idx val="3"/>
          <c:order val="1"/>
          <c:tx>
            <c:strRef>
              <c:f>Sheet1!$A$4</c:f>
              <c:strCache>
                <c:ptCount val="1"/>
                <c:pt idx="0">
                  <c:v>Both sexes Gaza Strip</c:v>
                </c:pt>
              </c:strCache>
            </c:strRef>
          </c:tx>
          <c:spPr>
            <a:ln w="12700">
              <a:noFill/>
              <a:prstDash val="solid"/>
            </a:ln>
            <a:effectLst>
              <a:outerShdw blurRad="50800" dist="50800" dir="5400000" algn="ctr" rotWithShape="0">
                <a:schemeClr val="accent3"/>
              </a:outerShdw>
            </a:effectLst>
          </c:spPr>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Psychological abuse</c:v>
                  </c:pt>
                  <c:pt idx="1">
                    <c:v>Physical abuse</c:v>
                  </c:pt>
                  <c:pt idx="2">
                    <c:v>Psychological abuse</c:v>
                  </c:pt>
                  <c:pt idx="3">
                    <c:v>Physical abuse</c:v>
                  </c:pt>
                </c:lvl>
                <c:lvl>
                  <c:pt idx="0">
                    <c:v>Father</c:v>
                  </c:pt>
                  <c:pt idx="2">
                    <c:v>Mother</c:v>
                  </c:pt>
                </c:lvl>
              </c:multiLvlStrCache>
            </c:multiLvlStrRef>
          </c:cat>
          <c:val>
            <c:numRef>
              <c:f>Sheet1!$B$4:$E$4</c:f>
              <c:numCache>
                <c:formatCode>#,##0.0</c:formatCode>
                <c:ptCount val="4"/>
                <c:pt idx="0">
                  <c:v>75.900000000000006</c:v>
                </c:pt>
                <c:pt idx="1">
                  <c:v>43.2</c:v>
                </c:pt>
                <c:pt idx="2">
                  <c:v>73.3</c:v>
                </c:pt>
                <c:pt idx="3">
                  <c:v>45.2</c:v>
                </c:pt>
              </c:numCache>
            </c:numRef>
          </c:val>
        </c:ser>
        <c:ser>
          <c:idx val="0"/>
          <c:order val="2"/>
          <c:tx>
            <c:strRef>
              <c:f>Sheet1!$A$5</c:f>
              <c:strCache>
                <c:ptCount val="1"/>
                <c:pt idx="0">
                  <c:v>Both sexes Palestine</c:v>
                </c:pt>
              </c:strCache>
            </c:strRef>
          </c:tx>
          <c:spPr>
            <a:solidFill>
              <a:schemeClr val="accent5">
                <a:lumMod val="40000"/>
                <a:lumOff val="60000"/>
              </a:schemeClr>
            </a:solidFill>
          </c:spPr>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Psychological abuse</c:v>
                  </c:pt>
                  <c:pt idx="1">
                    <c:v>Physical abuse</c:v>
                  </c:pt>
                  <c:pt idx="2">
                    <c:v>Psychological abuse</c:v>
                  </c:pt>
                  <c:pt idx="3">
                    <c:v>Physical abuse</c:v>
                  </c:pt>
                </c:lvl>
                <c:lvl>
                  <c:pt idx="0">
                    <c:v>Father</c:v>
                  </c:pt>
                  <c:pt idx="2">
                    <c:v>Mother</c:v>
                  </c:pt>
                </c:lvl>
              </c:multiLvlStrCache>
            </c:multiLvlStrRef>
          </c:cat>
          <c:val>
            <c:numRef>
              <c:f>Sheet1!$B$5:$E$5</c:f>
              <c:numCache>
                <c:formatCode>General</c:formatCode>
                <c:ptCount val="4"/>
                <c:pt idx="0" formatCode="0.0">
                  <c:v>69</c:v>
                </c:pt>
                <c:pt idx="1">
                  <c:v>34.4</c:v>
                </c:pt>
                <c:pt idx="2">
                  <c:v>66.400000000000006</c:v>
                </c:pt>
                <c:pt idx="3">
                  <c:v>34.5</c:v>
                </c:pt>
              </c:numCache>
            </c:numRef>
          </c:val>
        </c:ser>
        <c:dLbls>
          <c:showVal val="1"/>
        </c:dLbls>
        <c:axId val="191918080"/>
        <c:axId val="191919616"/>
      </c:barChart>
      <c:catAx>
        <c:axId val="191918080"/>
        <c:scaling>
          <c:orientation val="minMax"/>
        </c:scaling>
        <c:axPos val="b"/>
        <c:numFmt formatCode="#,##0.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91919616"/>
        <c:crosses val="autoZero"/>
        <c:auto val="1"/>
        <c:lblAlgn val="ctr"/>
        <c:lblOffset val="100"/>
        <c:tickLblSkip val="1"/>
        <c:tickMarkSkip val="1"/>
      </c:catAx>
      <c:valAx>
        <c:axId val="191919616"/>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91918080"/>
        <c:crosses val="autoZero"/>
        <c:crossBetween val="between"/>
      </c:valAx>
      <c:spPr>
        <a:noFill/>
        <a:ln w="25400">
          <a:noFill/>
        </a:ln>
      </c:spPr>
    </c:plotArea>
    <c:legend>
      <c:legendPos val="t"/>
      <c:overlay val="1"/>
      <c:spPr>
        <a:noFill/>
        <a:ln w="12700">
          <a:solidFill>
            <a:srgbClr val="4F81BD"/>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8650834748296169E-2"/>
          <c:y val="0.13790682414698174"/>
          <c:w val="0.93134916525170386"/>
          <c:h val="0.7081897593000136"/>
        </c:manualLayout>
      </c:layout>
      <c:barChart>
        <c:barDir val="col"/>
        <c:grouping val="clustered"/>
        <c:ser>
          <c:idx val="0"/>
          <c:order val="0"/>
          <c:tx>
            <c:strRef>
              <c:f>Sheet1!$B$1</c:f>
              <c:strCache>
                <c:ptCount val="1"/>
                <c:pt idx="0">
                  <c:v>Speech Difficulties</c:v>
                </c:pt>
              </c:strCache>
            </c:strRef>
          </c:tx>
          <c:dLbls>
            <c:dLbl>
              <c:idx val="0"/>
              <c:tx>
                <c:rich>
                  <a:bodyPr/>
                  <a:lstStyle/>
                  <a:p>
                    <a:r>
                      <a:rPr lang="en-US"/>
                      <a:t>1,578</a:t>
                    </a:r>
                  </a:p>
                </c:rich>
              </c:tx>
              <c:showVal val="1"/>
              <c:extLst>
                <c:ext xmlns:c15="http://schemas.microsoft.com/office/drawing/2012/chart" uri="{CE6537A1-D6FC-4f65-9D91-7224C49458BB}"/>
              </c:extLst>
            </c:dLbl>
            <c:dLbl>
              <c:idx val="1"/>
              <c:tx>
                <c:rich>
                  <a:bodyPr/>
                  <a:lstStyle/>
                  <a:p>
                    <a:r>
                      <a:rPr lang="en-US"/>
                      <a:t>1,290</a:t>
                    </a:r>
                  </a:p>
                </c:rich>
              </c:tx>
              <c:showVal val="1"/>
              <c:extLst>
                <c:ext xmlns:c15="http://schemas.microsoft.com/office/drawing/2012/chart" uri="{CE6537A1-D6FC-4f65-9D91-7224C49458BB}"/>
              </c:extLst>
            </c:dLbl>
            <c:dLbl>
              <c:idx val="2"/>
              <c:tx>
                <c:rich>
                  <a:bodyPr/>
                  <a:lstStyle/>
                  <a:p>
                    <a:r>
                      <a:rPr lang="en-US"/>
                      <a:t>1,589</a:t>
                    </a:r>
                  </a:p>
                </c:rich>
              </c:tx>
              <c:showVal val="1"/>
              <c:extLst>
                <c:ext xmlns:c15="http://schemas.microsoft.com/office/drawing/2012/chart" uri="{CE6537A1-D6FC-4f65-9D91-7224C49458BB}"/>
              </c:extLst>
            </c:dLbl>
            <c:dLbl>
              <c:idx val="3"/>
              <c:layout>
                <c:manualLayout>
                  <c:x val="0"/>
                  <c:y val="2.0808798681017256E-2"/>
                </c:manualLayout>
              </c:layout>
              <c:tx>
                <c:rich>
                  <a:bodyPr/>
                  <a:lstStyle/>
                  <a:p>
                    <a:r>
                      <a:rPr lang="en-US"/>
                      <a:t>1,786</a:t>
                    </a:r>
                  </a:p>
                </c:rich>
              </c:tx>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strRef>
              <c:f>Sheet1!$A$2:$A$5</c:f>
              <c:strCache>
                <c:ptCount val="4"/>
                <c:pt idx="0">
                  <c:v>2009/2010</c:v>
                </c:pt>
                <c:pt idx="1">
                  <c:v>2010/2011</c:v>
                </c:pt>
                <c:pt idx="2">
                  <c:v>2011/2012</c:v>
                </c:pt>
                <c:pt idx="3">
                  <c:v>2012/2013</c:v>
                </c:pt>
              </c:strCache>
            </c:strRef>
          </c:cat>
          <c:val>
            <c:numRef>
              <c:f>Sheet1!$B$2:$B$5</c:f>
              <c:numCache>
                <c:formatCode>General</c:formatCode>
                <c:ptCount val="4"/>
                <c:pt idx="0">
                  <c:v>1578</c:v>
                </c:pt>
                <c:pt idx="1">
                  <c:v>1290</c:v>
                </c:pt>
                <c:pt idx="2">
                  <c:v>1589</c:v>
                </c:pt>
                <c:pt idx="3">
                  <c:v>1786</c:v>
                </c:pt>
              </c:numCache>
            </c:numRef>
          </c:val>
        </c:ser>
        <c:ser>
          <c:idx val="1"/>
          <c:order val="1"/>
          <c:tx>
            <c:strRef>
              <c:f>Sheet1!$C$1</c:f>
              <c:strCache>
                <c:ptCount val="1"/>
                <c:pt idx="0">
                  <c:v>Visual</c:v>
                </c:pt>
              </c:strCache>
            </c:strRef>
          </c:tx>
          <c:spPr>
            <a:solidFill>
              <a:srgbClr val="1F497D">
                <a:lumMod val="20000"/>
                <a:lumOff val="80000"/>
              </a:srgbClr>
            </a:solidFill>
          </c:spPr>
          <c:dLbls>
            <c:dLbl>
              <c:idx val="0"/>
              <c:tx>
                <c:rich>
                  <a:bodyPr/>
                  <a:lstStyle/>
                  <a:p>
                    <a:r>
                      <a:rPr lang="en-US"/>
                      <a:t>1,019</a:t>
                    </a:r>
                  </a:p>
                </c:rich>
              </c:tx>
              <c:showVal val="1"/>
              <c:extLst>
                <c:ext xmlns:c15="http://schemas.microsoft.com/office/drawing/2012/chart" uri="{CE6537A1-D6FC-4f65-9D91-7224C49458BB}"/>
              </c:extLst>
            </c:dLbl>
            <c:dLbl>
              <c:idx val="2"/>
              <c:tx>
                <c:rich>
                  <a:bodyPr/>
                  <a:lstStyle/>
                  <a:p>
                    <a:r>
                      <a:rPr lang="en-US"/>
                      <a:t>1,088</a:t>
                    </a:r>
                  </a:p>
                </c:rich>
              </c:tx>
              <c:showVal val="1"/>
              <c:extLst>
                <c:ext xmlns:c15="http://schemas.microsoft.com/office/drawing/2012/chart" uri="{CE6537A1-D6FC-4f65-9D91-7224C49458BB}"/>
              </c:extLst>
            </c:dLbl>
            <c:dLbl>
              <c:idx val="3"/>
              <c:tx>
                <c:rich>
                  <a:bodyPr/>
                  <a:lstStyle/>
                  <a:p>
                    <a:r>
                      <a:rPr lang="en-US"/>
                      <a:t>1,426</a:t>
                    </a:r>
                  </a:p>
                </c:rich>
              </c:tx>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strRef>
              <c:f>Sheet1!$A$2:$A$5</c:f>
              <c:strCache>
                <c:ptCount val="4"/>
                <c:pt idx="0">
                  <c:v>2009/2010</c:v>
                </c:pt>
                <c:pt idx="1">
                  <c:v>2010/2011</c:v>
                </c:pt>
                <c:pt idx="2">
                  <c:v>2011/2012</c:v>
                </c:pt>
                <c:pt idx="3">
                  <c:v>2012/2013</c:v>
                </c:pt>
              </c:strCache>
            </c:strRef>
          </c:cat>
          <c:val>
            <c:numRef>
              <c:f>Sheet1!$C$2:$C$5</c:f>
              <c:numCache>
                <c:formatCode>General</c:formatCode>
                <c:ptCount val="4"/>
                <c:pt idx="0">
                  <c:v>1019</c:v>
                </c:pt>
                <c:pt idx="1">
                  <c:v>910</c:v>
                </c:pt>
                <c:pt idx="2">
                  <c:v>1088</c:v>
                </c:pt>
                <c:pt idx="3">
                  <c:v>1426</c:v>
                </c:pt>
              </c:numCache>
            </c:numRef>
          </c:val>
        </c:ser>
        <c:ser>
          <c:idx val="2"/>
          <c:order val="2"/>
          <c:tx>
            <c:strRef>
              <c:f>Sheet1!$D$1</c:f>
              <c:strCache>
                <c:ptCount val="1"/>
                <c:pt idx="0">
                  <c:v>Mobility</c:v>
                </c:pt>
              </c:strCache>
            </c:strRef>
          </c:tx>
          <c:dLbls>
            <c:dLbl>
              <c:idx val="2"/>
              <c:layout>
                <c:manualLayout>
                  <c:x val="1.0928967348890171E-2"/>
                  <c:y val="0"/>
                </c:manualLayout>
              </c:layout>
              <c:tx>
                <c:rich>
                  <a:bodyPr/>
                  <a:lstStyle/>
                  <a:p>
                    <a:r>
                      <a:rPr lang="en-US"/>
                      <a:t>1,055</a:t>
                    </a:r>
                  </a:p>
                </c:rich>
              </c:tx>
              <c:showVal val="1"/>
              <c:extLst>
                <c:ext xmlns:c15="http://schemas.microsoft.com/office/drawing/2012/chart" uri="{CE6537A1-D6FC-4f65-9D91-7224C49458BB}"/>
              </c:extLst>
            </c:dLbl>
            <c:dLbl>
              <c:idx val="3"/>
              <c:tx>
                <c:rich>
                  <a:bodyPr/>
                  <a:lstStyle/>
                  <a:p>
                    <a:r>
                      <a:rPr lang="en-US"/>
                      <a:t>1,076</a:t>
                    </a:r>
                  </a:p>
                </c:rich>
              </c:tx>
              <c:showVal val="1"/>
              <c:extLst>
                <c:ext xmlns:c15="http://schemas.microsoft.com/office/drawing/2012/chart" uri="{CE6537A1-D6FC-4f65-9D91-7224C49458BB}"/>
              </c:extLst>
            </c:dLbl>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strRef>
              <c:f>Sheet1!$A$2:$A$5</c:f>
              <c:strCache>
                <c:ptCount val="4"/>
                <c:pt idx="0">
                  <c:v>2009/2010</c:v>
                </c:pt>
                <c:pt idx="1">
                  <c:v>2010/2011</c:v>
                </c:pt>
                <c:pt idx="2">
                  <c:v>2011/2012</c:v>
                </c:pt>
                <c:pt idx="3">
                  <c:v>2012/2013</c:v>
                </c:pt>
              </c:strCache>
            </c:strRef>
          </c:cat>
          <c:val>
            <c:numRef>
              <c:f>Sheet1!$D$2:$D$5</c:f>
              <c:numCache>
                <c:formatCode>General</c:formatCode>
                <c:ptCount val="4"/>
                <c:pt idx="0">
                  <c:v>984</c:v>
                </c:pt>
                <c:pt idx="1">
                  <c:v>867</c:v>
                </c:pt>
                <c:pt idx="2">
                  <c:v>1055</c:v>
                </c:pt>
                <c:pt idx="3">
                  <c:v>1076</c:v>
                </c:pt>
              </c:numCache>
            </c:numRef>
          </c:val>
        </c:ser>
        <c:ser>
          <c:idx val="3"/>
          <c:order val="3"/>
          <c:tx>
            <c:strRef>
              <c:f>Sheet1!$E$1</c:f>
              <c:strCache>
                <c:ptCount val="1"/>
                <c:pt idx="0">
                  <c:v>Hearing</c:v>
                </c:pt>
              </c:strCache>
            </c:strRef>
          </c:tx>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strRef>
              <c:f>Sheet1!$A$2:$A$5</c:f>
              <c:strCache>
                <c:ptCount val="4"/>
                <c:pt idx="0">
                  <c:v>2009/2010</c:v>
                </c:pt>
                <c:pt idx="1">
                  <c:v>2010/2011</c:v>
                </c:pt>
                <c:pt idx="2">
                  <c:v>2011/2012</c:v>
                </c:pt>
                <c:pt idx="3">
                  <c:v>2012/2013</c:v>
                </c:pt>
              </c:strCache>
            </c:strRef>
          </c:cat>
          <c:val>
            <c:numRef>
              <c:f>Sheet1!$E$2:$E$5</c:f>
              <c:numCache>
                <c:formatCode>General</c:formatCode>
                <c:ptCount val="4"/>
                <c:pt idx="0">
                  <c:v>762</c:v>
                </c:pt>
                <c:pt idx="1">
                  <c:v>645</c:v>
                </c:pt>
                <c:pt idx="2">
                  <c:v>814</c:v>
                </c:pt>
                <c:pt idx="3">
                  <c:v>864</c:v>
                </c:pt>
              </c:numCache>
            </c:numRef>
          </c:val>
        </c:ser>
        <c:ser>
          <c:idx val="4"/>
          <c:order val="4"/>
          <c:tx>
            <c:strRef>
              <c:f>Sheet1!$F$1</c:f>
              <c:strCache>
                <c:ptCount val="1"/>
                <c:pt idx="0">
                  <c:v>Mental</c:v>
                </c:pt>
              </c:strCache>
            </c:strRef>
          </c:tx>
          <c:dLbls>
            <c:spPr>
              <a:noFill/>
              <a:ln>
                <a:noFill/>
              </a:ln>
              <a:effectLst/>
            </c:spPr>
            <c:txPr>
              <a:bodyPr/>
              <a:lstStyle/>
              <a:p>
                <a:pPr>
                  <a:defRPr sz="900">
                    <a:latin typeface="Arial" pitchFamily="34" charset="0"/>
                    <a:cs typeface="Arial" pitchFamily="34" charset="0"/>
                  </a:defRPr>
                </a:pPr>
                <a:endParaRPr lang="en-US"/>
              </a:p>
            </c:txPr>
            <c:showVal val="1"/>
            <c:extLst>
              <c:ext xmlns:c15="http://schemas.microsoft.com/office/drawing/2012/chart" uri="{CE6537A1-D6FC-4f65-9D91-7224C49458BB}">
                <c15:showLeaderLines val="0"/>
              </c:ext>
            </c:extLst>
          </c:dLbls>
          <c:cat>
            <c:strRef>
              <c:f>Sheet1!$A$2:$A$5</c:f>
              <c:strCache>
                <c:ptCount val="4"/>
                <c:pt idx="0">
                  <c:v>2009/2010</c:v>
                </c:pt>
                <c:pt idx="1">
                  <c:v>2010/2011</c:v>
                </c:pt>
                <c:pt idx="2">
                  <c:v>2011/2012</c:v>
                </c:pt>
                <c:pt idx="3">
                  <c:v>2012/2013</c:v>
                </c:pt>
              </c:strCache>
            </c:strRef>
          </c:cat>
          <c:val>
            <c:numRef>
              <c:f>Sheet1!$F$2:$F$5</c:f>
              <c:numCache>
                <c:formatCode>General</c:formatCode>
                <c:ptCount val="4"/>
                <c:pt idx="0">
                  <c:v>554</c:v>
                </c:pt>
                <c:pt idx="1">
                  <c:v>492</c:v>
                </c:pt>
                <c:pt idx="2">
                  <c:v>473</c:v>
                </c:pt>
                <c:pt idx="3">
                  <c:v>550</c:v>
                </c:pt>
              </c:numCache>
            </c:numRef>
          </c:val>
        </c:ser>
        <c:gapWidth val="75"/>
        <c:overlap val="-25"/>
        <c:axId val="191997824"/>
        <c:axId val="191999360"/>
      </c:barChart>
      <c:catAx>
        <c:axId val="191997824"/>
        <c:scaling>
          <c:orientation val="minMax"/>
        </c:scaling>
        <c:axPos val="b"/>
        <c:numFmt formatCode="General" sourceLinked="0"/>
        <c:majorTickMark val="none"/>
        <c:tickLblPos val="nextTo"/>
        <c:crossAx val="191999360"/>
        <c:crosses val="autoZero"/>
        <c:auto val="1"/>
        <c:lblAlgn val="ctr"/>
        <c:lblOffset val="100"/>
      </c:catAx>
      <c:valAx>
        <c:axId val="191999360"/>
        <c:scaling>
          <c:orientation val="minMax"/>
        </c:scaling>
        <c:axPos val="l"/>
        <c:majorGridlines/>
        <c:numFmt formatCode="General" sourceLinked="1"/>
        <c:majorTickMark val="none"/>
        <c:tickLblPos val="nextTo"/>
        <c:spPr>
          <a:ln w="9525">
            <a:noFill/>
          </a:ln>
        </c:spPr>
        <c:crossAx val="191997824"/>
        <c:crosses val="autoZero"/>
        <c:crossBetween val="between"/>
      </c:valAx>
      <c:spPr>
        <a:ln>
          <a:solidFill>
            <a:srgbClr val="4F81BD"/>
          </a:solidFill>
        </a:ln>
      </c:spPr>
    </c:plotArea>
    <c:legend>
      <c:legendPos val="b"/>
      <c:layout>
        <c:manualLayout>
          <c:xMode val="edge"/>
          <c:yMode val="edge"/>
          <c:x val="7.3843664694705574E-2"/>
          <c:y val="2.1204402081318841E-2"/>
          <c:w val="0.90186424775468854"/>
          <c:h val="9.8285274746278795E-2"/>
        </c:manualLayout>
      </c:layout>
      <c:spPr>
        <a:ln>
          <a:solidFill>
            <a:srgbClr val="4F81BD"/>
          </a:solidFill>
        </a:ln>
      </c:spPr>
    </c:legend>
    <c:plotVisOnly val="1"/>
    <c:dispBlanksAs val="gap"/>
  </c:chart>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barChart>
        <c:barDir val="col"/>
        <c:grouping val="clustered"/>
        <c:ser>
          <c:idx val="0"/>
          <c:order val="0"/>
          <c:tx>
            <c:strRef>
              <c:f>Sheet1!$B$1</c:f>
              <c:strCache>
                <c:ptCount val="1"/>
                <c:pt idx="0">
                  <c:v>Male</c:v>
                </c:pt>
              </c:strCache>
            </c:strRef>
          </c:tx>
          <c:spPr>
            <a:solidFill>
              <a:schemeClr val="bg2">
                <a:lumMod val="75000"/>
              </a:schemeClr>
            </a:solidFill>
          </c:spPr>
          <c:dLbls>
            <c:dLbl>
              <c:idx val="0"/>
              <c:tx>
                <c:rich>
                  <a:bodyPr/>
                  <a:lstStyle/>
                  <a:p>
                    <a:r>
                      <a:rPr lang="en-US"/>
                      <a:t>2,553</a:t>
                    </a:r>
                  </a:p>
                </c:rich>
              </c:tx>
              <c:showVal val="1"/>
              <c:extLst>
                <c:ext xmlns:c15="http://schemas.microsoft.com/office/drawing/2012/chart" uri="{CE6537A1-D6FC-4f65-9D91-7224C49458BB}"/>
              </c:extLst>
            </c:dLbl>
            <c:dLbl>
              <c:idx val="1"/>
              <c:tx>
                <c:rich>
                  <a:bodyPr/>
                  <a:lstStyle/>
                  <a:p>
                    <a:r>
                      <a:rPr lang="en-US"/>
                      <a:t>2,193</a:t>
                    </a:r>
                  </a:p>
                </c:rich>
              </c:tx>
              <c:showVal val="1"/>
              <c:extLst>
                <c:ext xmlns:c15="http://schemas.microsoft.com/office/drawing/2012/chart" uri="{CE6537A1-D6FC-4f65-9D91-7224C49458BB}"/>
              </c:extLst>
            </c:dLbl>
            <c:dLbl>
              <c:idx val="2"/>
              <c:tx>
                <c:rich>
                  <a:bodyPr/>
                  <a:lstStyle/>
                  <a:p>
                    <a:r>
                      <a:rPr lang="en-US"/>
                      <a:t>2,671</a:t>
                    </a:r>
                  </a:p>
                </c:rich>
              </c:tx>
              <c:showVal val="1"/>
              <c:extLst>
                <c:ext xmlns:c15="http://schemas.microsoft.com/office/drawing/2012/chart" uri="{CE6537A1-D6FC-4f65-9D91-7224C49458BB}"/>
              </c:extLst>
            </c:dLbl>
            <c:dLbl>
              <c:idx val="3"/>
              <c:tx>
                <c:rich>
                  <a:bodyPr/>
                  <a:lstStyle/>
                  <a:p>
                    <a:r>
                      <a:rPr lang="en-US"/>
                      <a:t>3,162</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Sheet1!$A$2:$A$5</c:f>
              <c:strCache>
                <c:ptCount val="4"/>
                <c:pt idx="0">
                  <c:v>2009/2010</c:v>
                </c:pt>
                <c:pt idx="1">
                  <c:v>2010/2011</c:v>
                </c:pt>
                <c:pt idx="2">
                  <c:v>2011/2012</c:v>
                </c:pt>
                <c:pt idx="3">
                  <c:v>2012/2013</c:v>
                </c:pt>
              </c:strCache>
            </c:strRef>
          </c:cat>
          <c:val>
            <c:numRef>
              <c:f>Sheet1!$B$2:$B$5</c:f>
              <c:numCache>
                <c:formatCode>General</c:formatCode>
                <c:ptCount val="4"/>
                <c:pt idx="0">
                  <c:v>2553</c:v>
                </c:pt>
                <c:pt idx="1">
                  <c:v>2193</c:v>
                </c:pt>
                <c:pt idx="2">
                  <c:v>2671</c:v>
                </c:pt>
                <c:pt idx="3">
                  <c:v>3162</c:v>
                </c:pt>
              </c:numCache>
            </c:numRef>
          </c:val>
        </c:ser>
        <c:ser>
          <c:idx val="1"/>
          <c:order val="1"/>
          <c:tx>
            <c:strRef>
              <c:f>Sheet1!$C$1</c:f>
              <c:strCache>
                <c:ptCount val="1"/>
                <c:pt idx="0">
                  <c:v>Female</c:v>
                </c:pt>
              </c:strCache>
            </c:strRef>
          </c:tx>
          <c:dLbls>
            <c:dLbl>
              <c:idx val="0"/>
              <c:tx>
                <c:rich>
                  <a:bodyPr/>
                  <a:lstStyle/>
                  <a:p>
                    <a:r>
                      <a:rPr lang="en-US"/>
                      <a:t>2,344</a:t>
                    </a:r>
                  </a:p>
                </c:rich>
              </c:tx>
              <c:showVal val="1"/>
              <c:extLst>
                <c:ext xmlns:c15="http://schemas.microsoft.com/office/drawing/2012/chart" uri="{CE6537A1-D6FC-4f65-9D91-7224C49458BB}"/>
              </c:extLst>
            </c:dLbl>
            <c:dLbl>
              <c:idx val="1"/>
              <c:tx>
                <c:rich>
                  <a:bodyPr/>
                  <a:lstStyle/>
                  <a:p>
                    <a:r>
                      <a:rPr lang="en-US"/>
                      <a:t>2,011</a:t>
                    </a:r>
                  </a:p>
                </c:rich>
              </c:tx>
              <c:showVal val="1"/>
              <c:extLst>
                <c:ext xmlns:c15="http://schemas.microsoft.com/office/drawing/2012/chart" uri="{CE6537A1-D6FC-4f65-9D91-7224C49458BB}"/>
              </c:extLst>
            </c:dLbl>
            <c:dLbl>
              <c:idx val="2"/>
              <c:tx>
                <c:rich>
                  <a:bodyPr/>
                  <a:lstStyle/>
                  <a:p>
                    <a:r>
                      <a:rPr lang="en-US"/>
                      <a:t>2,348</a:t>
                    </a:r>
                  </a:p>
                </c:rich>
              </c:tx>
              <c:showVal val="1"/>
              <c:extLst>
                <c:ext xmlns:c15="http://schemas.microsoft.com/office/drawing/2012/chart" uri="{CE6537A1-D6FC-4f65-9D91-7224C49458BB}"/>
              </c:extLst>
            </c:dLbl>
            <c:dLbl>
              <c:idx val="3"/>
              <c:tx>
                <c:rich>
                  <a:bodyPr/>
                  <a:lstStyle/>
                  <a:p>
                    <a:r>
                      <a:rPr lang="en-US"/>
                      <a:t>2,540</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Sheet1!$A$2:$A$5</c:f>
              <c:strCache>
                <c:ptCount val="4"/>
                <c:pt idx="0">
                  <c:v>2009/2010</c:v>
                </c:pt>
                <c:pt idx="1">
                  <c:v>2010/2011</c:v>
                </c:pt>
                <c:pt idx="2">
                  <c:v>2011/2012</c:v>
                </c:pt>
                <c:pt idx="3">
                  <c:v>2012/2013</c:v>
                </c:pt>
              </c:strCache>
            </c:strRef>
          </c:cat>
          <c:val>
            <c:numRef>
              <c:f>Sheet1!$C$2:$C$5</c:f>
              <c:numCache>
                <c:formatCode>General</c:formatCode>
                <c:ptCount val="4"/>
                <c:pt idx="0">
                  <c:v>2344</c:v>
                </c:pt>
                <c:pt idx="1">
                  <c:v>2011</c:v>
                </c:pt>
                <c:pt idx="2">
                  <c:v>2348</c:v>
                </c:pt>
                <c:pt idx="3">
                  <c:v>2540</c:v>
                </c:pt>
              </c:numCache>
            </c:numRef>
          </c:val>
        </c:ser>
        <c:axId val="194505728"/>
        <c:axId val="191767296"/>
      </c:barChart>
      <c:catAx>
        <c:axId val="194505728"/>
        <c:scaling>
          <c:orientation val="minMax"/>
        </c:scaling>
        <c:axPos val="b"/>
        <c:numFmt formatCode="General" sourceLinked="0"/>
        <c:majorTickMark val="none"/>
        <c:tickLblPos val="nextTo"/>
        <c:crossAx val="191767296"/>
        <c:crosses val="autoZero"/>
        <c:auto val="1"/>
        <c:lblAlgn val="ctr"/>
        <c:lblOffset val="100"/>
      </c:catAx>
      <c:valAx>
        <c:axId val="191767296"/>
        <c:scaling>
          <c:orientation val="minMax"/>
        </c:scaling>
        <c:axPos val="l"/>
        <c:majorGridlines/>
        <c:numFmt formatCode="General" sourceLinked="1"/>
        <c:majorTickMark val="none"/>
        <c:tickLblPos val="nextTo"/>
        <c:crossAx val="194505728"/>
        <c:crosses val="autoZero"/>
        <c:crossBetween val="between"/>
      </c:valAx>
    </c:plotArea>
    <c:legend>
      <c:legendPos val="r"/>
      <c:layout>
        <c:manualLayout>
          <c:xMode val="edge"/>
          <c:yMode val="edge"/>
          <c:x val="0.88259464057100223"/>
          <c:y val="0.24097880041580921"/>
          <c:w val="0.10401425572614729"/>
          <c:h val="0.37886533379534992"/>
        </c:manualLayout>
      </c:layout>
      <c:spPr>
        <a:ln>
          <a:solidFill>
            <a:sysClr val="windowText" lastClr="000000"/>
          </a:solidFill>
        </a:ln>
      </c:spPr>
    </c:legend>
    <c:plotVisOnly val="1"/>
    <c:dispBlanksAs val="gap"/>
  </c:chart>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30162401574803188"/>
          <c:y val="9.1121151271753662E-3"/>
          <c:w val="0.48602890784488817"/>
          <c:h val="0.89241934404281198"/>
        </c:manualLayout>
      </c:layout>
      <c:pieChart>
        <c:varyColors val="1"/>
        <c:ser>
          <c:idx val="1"/>
          <c:order val="1"/>
          <c:tx>
            <c:strRef>
              <c:f>Sheet1!$C$1</c:f>
              <c:strCache>
                <c:ptCount val="1"/>
                <c:pt idx="0">
                  <c:v>Column1</c:v>
                </c:pt>
              </c:strCache>
            </c:strRef>
          </c:tx>
          <c:dLbls>
            <c:dLbl>
              <c:idx val="0"/>
              <c:layout>
                <c:manualLayout>
                  <c:x val="-8.2417249927092498E-2"/>
                  <c:y val="0.1203599550056243"/>
                </c:manualLayout>
              </c:layout>
              <c:tx>
                <c:rich>
                  <a:bodyPr/>
                  <a:lstStyle/>
                  <a:p>
                    <a:r>
                      <a:rPr lang="en-US"/>
                      <a:t>796</a:t>
                    </a:r>
                  </a:p>
                </c:rich>
              </c:tx>
              <c:showCatName val="1"/>
              <c:showPercent val="1"/>
              <c:extLst>
                <c:ext xmlns:c15="http://schemas.microsoft.com/office/drawing/2012/chart" uri="{CE6537A1-D6FC-4f65-9D91-7224C49458BB}"/>
              </c:extLst>
            </c:dLbl>
            <c:dLbl>
              <c:idx val="1"/>
              <c:layout>
                <c:manualLayout>
                  <c:x val="-0.11786307961504811"/>
                  <c:y val="-8.7140982377203025E-2"/>
                </c:manualLayout>
              </c:layout>
              <c:tx>
                <c:rich>
                  <a:bodyPr/>
                  <a:lstStyle/>
                  <a:p>
                    <a:r>
                      <a:rPr lang="en-US"/>
                      <a:t>753</a:t>
                    </a:r>
                  </a:p>
                </c:rich>
              </c:tx>
              <c:showCatName val="1"/>
              <c:showPercent val="1"/>
              <c:extLst>
                <c:ext xmlns:c15="http://schemas.microsoft.com/office/drawing/2012/chart" uri="{CE6537A1-D6FC-4f65-9D91-7224C49458BB}"/>
              </c:extLst>
            </c:dLbl>
            <c:dLbl>
              <c:idx val="2"/>
              <c:layout>
                <c:manualLayout>
                  <c:x val="-5.4565835520559896E-3"/>
                  <c:y val="-0.15340863642045699"/>
                </c:manualLayout>
              </c:layout>
              <c:tx>
                <c:rich>
                  <a:bodyPr/>
                  <a:lstStyle/>
                  <a:p>
                    <a:r>
                      <a:rPr lang="en-US"/>
                      <a:t>671</a:t>
                    </a:r>
                  </a:p>
                </c:rich>
              </c:tx>
              <c:showCatName val="1"/>
              <c:showPercent val="1"/>
              <c:extLst>
                <c:ext xmlns:c15="http://schemas.microsoft.com/office/drawing/2012/chart" uri="{CE6537A1-D6FC-4f65-9D91-7224C49458BB}"/>
              </c:extLst>
            </c:dLbl>
            <c:dLbl>
              <c:idx val="3"/>
              <c:layout>
                <c:manualLayout>
                  <c:x val="0.17510626275882191"/>
                  <c:y val="1.1677602799650065E-2"/>
                </c:manualLayout>
              </c:layout>
              <c:tx>
                <c:rich>
                  <a:bodyPr/>
                  <a:lstStyle/>
                  <a:p>
                    <a:r>
                      <a:rPr lang="en-US" b="1"/>
                      <a:t>1584</a:t>
                    </a:r>
                    <a:endParaRPr lang="en-US"/>
                  </a:p>
                </c:rich>
              </c:tx>
              <c:showCatName val="1"/>
              <c:showPercent val="1"/>
              <c:extLst>
                <c:ext xmlns:c15="http://schemas.microsoft.com/office/drawing/2012/chart" uri="{CE6537A1-D6FC-4f65-9D91-7224C49458BB}"/>
              </c:extLst>
            </c:dLbl>
            <c:dLbl>
              <c:idx val="4"/>
              <c:delete val="1"/>
              <c:extLst>
                <c:ext xmlns:c15="http://schemas.microsoft.com/office/drawing/2012/chart" uri="{CE6537A1-D6FC-4f65-9D91-7224C49458BB}"/>
              </c:extLst>
            </c:dLbl>
            <c:spPr>
              <a:noFill/>
              <a:ln>
                <a:noFill/>
              </a:ln>
              <a:effectLst/>
            </c:spPr>
            <c:txPr>
              <a:bodyPr/>
              <a:lstStyle/>
              <a:p>
                <a:pPr>
                  <a:defRPr b="1"/>
                </a:pPr>
                <a:endParaRPr lang="en-US"/>
              </a:p>
            </c:txPr>
            <c:showCatName val="1"/>
            <c:showPercent val="1"/>
            <c:showLeaderLines val="1"/>
            <c:extLst>
              <c:ext xmlns:c15="http://schemas.microsoft.com/office/drawing/2012/chart" uri="{CE6537A1-D6FC-4f65-9D91-7224C49458BB}"/>
            </c:extLst>
          </c:dLbls>
          <c:cat>
            <c:strRef>
              <c:f>Sheet1!$A$2:$A$6</c:f>
              <c:strCache>
                <c:ptCount val="5"/>
                <c:pt idx="0">
                  <c:v>visually</c:v>
                </c:pt>
                <c:pt idx="1">
                  <c:v>hearing disability</c:v>
                </c:pt>
                <c:pt idx="2">
                  <c:v>mobility disabilities </c:v>
                </c:pt>
                <c:pt idx="3">
                  <c:v>disturbances in speech </c:v>
                </c:pt>
                <c:pt idx="4">
                  <c:v>Down syndrome </c:v>
                </c:pt>
              </c:strCache>
            </c:strRef>
          </c:cat>
          <c:val>
            <c:numRef>
              <c:f>Sheet1!$C$2:$C$6</c:f>
              <c:numCache>
                <c:formatCode>0.00%</c:formatCode>
                <c:ptCount val="5"/>
                <c:pt idx="0">
                  <c:v>0.20900000000000021</c:v>
                </c:pt>
                <c:pt idx="1">
                  <c:v>0.19700000000000001</c:v>
                </c:pt>
                <c:pt idx="2">
                  <c:v>0.17600000000000021</c:v>
                </c:pt>
                <c:pt idx="3">
                  <c:v>0.41500000000000031</c:v>
                </c:pt>
                <c:pt idx="4">
                  <c:v>3.0000000000000092E-3</c:v>
                </c:pt>
              </c:numCache>
            </c:numRef>
          </c:val>
        </c:ser>
        <c:dLbls>
          <c:showCatName val="1"/>
          <c:showPercent val="1"/>
        </c:dLbls>
        <c:firstSliceAng val="0"/>
      </c:pieChart>
      <c:pieChart>
        <c:varyColors val="1"/>
        <c:ser>
          <c:idx val="0"/>
          <c:order val="0"/>
          <c:tx>
            <c:strRef>
              <c:f>Sheet1!$B$1</c:f>
              <c:strCache>
                <c:ptCount val="1"/>
                <c:pt idx="0">
                  <c:v>Sales</c:v>
                </c:pt>
              </c:strCache>
            </c:strRef>
          </c:tx>
          <c:dPt>
            <c:idx val="0"/>
            <c:spPr>
              <a:solidFill>
                <a:schemeClr val="bg2">
                  <a:lumMod val="75000"/>
                </a:schemeClr>
              </a:solidFill>
            </c:spPr>
          </c:dPt>
          <c:dPt>
            <c:idx val="3"/>
            <c:spPr>
              <a:solidFill>
                <a:schemeClr val="accent5">
                  <a:lumMod val="40000"/>
                  <a:lumOff val="60000"/>
                </a:schemeClr>
              </a:solidFill>
            </c:spPr>
          </c:dPt>
          <c:dLbls>
            <c:dLbl>
              <c:idx val="0"/>
              <c:layout>
                <c:manualLayout>
                  <c:x val="9.9884259259259298E-2"/>
                  <c:y val="9.6192350956130504E-2"/>
                </c:manualLayout>
              </c:layout>
              <c:tx>
                <c:rich>
                  <a:bodyPr/>
                  <a:lstStyle/>
                  <a:p>
                    <a:r>
                      <a:rPr lang="en-US"/>
                      <a:t>visually
20.9%</a:t>
                    </a:r>
                  </a:p>
                </c:rich>
              </c:tx>
              <c:showCatName val="1"/>
              <c:showPercent val="1"/>
              <c:extLst>
                <c:ext xmlns:c15="http://schemas.microsoft.com/office/drawing/2012/chart" uri="{CE6537A1-D6FC-4f65-9D91-7224C49458BB}"/>
              </c:extLst>
            </c:dLbl>
            <c:dLbl>
              <c:idx val="1"/>
              <c:layout>
                <c:manualLayout>
                  <c:x val="2.6816765091863651E-2"/>
                  <c:y val="-6.3244281964754401E-2"/>
                </c:manualLayout>
              </c:layout>
              <c:tx>
                <c:rich>
                  <a:bodyPr/>
                  <a:lstStyle/>
                  <a:p>
                    <a:r>
                      <a:rPr lang="en-US"/>
                      <a:t>hearing disability
19.6%</a:t>
                    </a:r>
                  </a:p>
                </c:rich>
              </c:tx>
              <c:showCatName val="1"/>
              <c:showPercent val="1"/>
              <c:extLst>
                <c:ext xmlns:c15="http://schemas.microsoft.com/office/drawing/2012/chart" uri="{CE6537A1-D6FC-4f65-9D91-7224C49458BB}"/>
              </c:extLst>
            </c:dLbl>
            <c:dLbl>
              <c:idx val="2"/>
              <c:layout>
                <c:manualLayout>
                  <c:x val="0.17937666843779806"/>
                  <c:y val="-7.0728189710658491E-4"/>
                </c:manualLayout>
              </c:layout>
              <c:tx>
                <c:rich>
                  <a:bodyPr/>
                  <a:lstStyle/>
                  <a:p>
                    <a:r>
                      <a:rPr lang="en-US"/>
                      <a:t>mobility disabilities 
17.6%</a:t>
                    </a:r>
                  </a:p>
                </c:rich>
              </c:tx>
              <c:showCatName val="1"/>
              <c:showPercent val="1"/>
              <c:extLst>
                <c:ext xmlns:c15="http://schemas.microsoft.com/office/drawing/2012/chart" uri="{CE6537A1-D6FC-4f65-9D91-7224C49458BB}"/>
              </c:extLst>
            </c:dLbl>
            <c:dLbl>
              <c:idx val="3"/>
              <c:layout>
                <c:manualLayout>
                  <c:x val="-3.1914643482065692E-2"/>
                  <c:y val="8.9638795150611766E-2"/>
                </c:manualLayout>
              </c:layout>
              <c:tx>
                <c:rich>
                  <a:bodyPr/>
                  <a:lstStyle/>
                  <a:p>
                    <a:r>
                      <a:rPr lang="en-US"/>
                      <a:t>disturbances in speech 
41.6%</a:t>
                    </a:r>
                  </a:p>
                </c:rich>
              </c:tx>
              <c:showCatName val="1"/>
              <c:showPercent val="1"/>
              <c:extLst>
                <c:ext xmlns:c15="http://schemas.microsoft.com/office/drawing/2012/chart" uri="{CE6537A1-D6FC-4f65-9D91-7224C49458BB}"/>
              </c:extLst>
            </c:dLbl>
            <c:dLbl>
              <c:idx val="4"/>
              <c:layout>
                <c:manualLayout>
                  <c:x val="-0.21820499032279519"/>
                  <c:y val="1.8998493379697484E-2"/>
                </c:manualLayout>
              </c:layout>
              <c:tx>
                <c:rich>
                  <a:bodyPr/>
                  <a:lstStyle/>
                  <a:p>
                    <a:r>
                      <a:rPr lang="en-US"/>
                      <a:t>Down syndrome 
0.3%</a:t>
                    </a:r>
                  </a:p>
                </c:rich>
              </c:tx>
              <c:showCatName val="1"/>
              <c:showPercent val="1"/>
              <c:extLst>
                <c:ext xmlns:c15="http://schemas.microsoft.com/office/drawing/2012/chart" uri="{CE6537A1-D6FC-4f65-9D91-7224C49458BB}"/>
              </c:extLst>
            </c:dLbl>
            <c:spPr>
              <a:noFill/>
              <a:ln>
                <a:noFill/>
              </a:ln>
              <a:effectLst/>
            </c:spPr>
            <c:showCatName val="1"/>
            <c:showPercent val="1"/>
            <c:showLeaderLines val="1"/>
            <c:extLst>
              <c:ext xmlns:c15="http://schemas.microsoft.com/office/drawing/2012/chart" uri="{CE6537A1-D6FC-4f65-9D91-7224C49458BB}"/>
            </c:extLst>
          </c:dLbls>
          <c:cat>
            <c:strRef>
              <c:f>Sheet1!$A$2:$A$6</c:f>
              <c:strCache>
                <c:ptCount val="5"/>
                <c:pt idx="0">
                  <c:v>visually</c:v>
                </c:pt>
                <c:pt idx="1">
                  <c:v>hearing disability</c:v>
                </c:pt>
                <c:pt idx="2">
                  <c:v>mobility disabilities </c:v>
                </c:pt>
                <c:pt idx="3">
                  <c:v>disturbances in speech </c:v>
                </c:pt>
                <c:pt idx="4">
                  <c:v>Down syndrome </c:v>
                </c:pt>
              </c:strCache>
            </c:strRef>
          </c:cat>
          <c:val>
            <c:numRef>
              <c:f>Sheet1!$B$2:$B$6</c:f>
              <c:numCache>
                <c:formatCode>General</c:formatCode>
                <c:ptCount val="5"/>
                <c:pt idx="0">
                  <c:v>769</c:v>
                </c:pt>
                <c:pt idx="1">
                  <c:v>753</c:v>
                </c:pt>
                <c:pt idx="2">
                  <c:v>671</c:v>
                </c:pt>
                <c:pt idx="3">
                  <c:v>1584</c:v>
                </c:pt>
                <c:pt idx="4">
                  <c:v>12</c:v>
                </c:pt>
              </c:numCache>
            </c:numRef>
          </c:val>
        </c:ser>
        <c:firstSliceAng val="0"/>
      </c:pieChart>
    </c:plotArea>
    <c:plotVisOnly val="1"/>
    <c:dispBlanksAs val="gap"/>
  </c:chart>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stacked"/>
        <c:ser>
          <c:idx val="0"/>
          <c:order val="0"/>
          <c:tx>
            <c:strRef>
              <c:f>Sheet1!$B$1</c:f>
              <c:strCache>
                <c:ptCount val="1"/>
                <c:pt idx="0">
                  <c:v>government</c:v>
                </c:pt>
              </c:strCache>
            </c:strRef>
          </c:tx>
          <c:spPr>
            <a:solidFill>
              <a:schemeClr val="accent6">
                <a:lumMod val="75000"/>
              </a:schemeClr>
            </a:solidFill>
          </c:spPr>
          <c:dLbls>
            <c:spPr>
              <a:noFill/>
              <a:ln>
                <a:noFill/>
              </a:ln>
              <a:effectLst/>
            </c:spPr>
            <c:showVal val="1"/>
            <c:extLst>
              <c:ext xmlns:c15="http://schemas.microsoft.com/office/drawing/2012/chart" uri="{CE6537A1-D6FC-4f65-9D91-7224C49458BB}">
                <c15:showLeaderLines val="0"/>
              </c:ext>
            </c:extLst>
          </c:dLbls>
          <c:cat>
            <c:strRef>
              <c:f>Sheet1!$A$2:$A$7</c:f>
              <c:strCache>
                <c:ptCount val="6"/>
                <c:pt idx="0">
                  <c:v>West Bank 2012/2013</c:v>
                </c:pt>
                <c:pt idx="1">
                  <c:v>Gaza Strip 2012/2013</c:v>
                </c:pt>
                <c:pt idx="2">
                  <c:v>Palestine 2012/2013</c:v>
                </c:pt>
                <c:pt idx="3">
                  <c:v>West Bank 2011/2012</c:v>
                </c:pt>
                <c:pt idx="4">
                  <c:v>Gaza Strip 2011/2012</c:v>
                </c:pt>
                <c:pt idx="5">
                  <c:v>Palestine 2011/2012</c:v>
                </c:pt>
              </c:strCache>
            </c:strRef>
          </c:cat>
          <c:val>
            <c:numRef>
              <c:f>Sheet1!$B$2:$B$7</c:f>
              <c:numCache>
                <c:formatCode>General</c:formatCode>
                <c:ptCount val="6"/>
                <c:pt idx="0">
                  <c:v>43.5</c:v>
                </c:pt>
                <c:pt idx="1">
                  <c:v>71.3</c:v>
                </c:pt>
                <c:pt idx="2">
                  <c:v>48.9</c:v>
                </c:pt>
                <c:pt idx="3">
                  <c:v>41.3</c:v>
                </c:pt>
                <c:pt idx="4">
                  <c:v>64.900000000000006</c:v>
                </c:pt>
                <c:pt idx="5">
                  <c:v>45.9</c:v>
                </c:pt>
              </c:numCache>
            </c:numRef>
          </c:val>
        </c:ser>
        <c:ser>
          <c:idx val="1"/>
          <c:order val="1"/>
          <c:tx>
            <c:strRef>
              <c:f>Sheet1!$C$1</c:f>
              <c:strCache>
                <c:ptCount val="1"/>
                <c:pt idx="0">
                  <c:v>UNRWA</c:v>
                </c:pt>
              </c:strCache>
            </c:strRef>
          </c:tx>
          <c:spPr>
            <a:solidFill>
              <a:srgbClr val="C0504D">
                <a:lumMod val="40000"/>
                <a:lumOff val="60000"/>
              </a:srgbClr>
            </a:solidFill>
          </c:spPr>
          <c:dLbls>
            <c:spPr>
              <a:noFill/>
              <a:ln>
                <a:noFill/>
              </a:ln>
              <a:effectLst/>
            </c:spPr>
            <c:showVal val="1"/>
            <c:extLst>
              <c:ext xmlns:c15="http://schemas.microsoft.com/office/drawing/2012/chart" uri="{CE6537A1-D6FC-4f65-9D91-7224C49458BB}">
                <c15:showLeaderLines val="0"/>
              </c:ext>
            </c:extLst>
          </c:dLbls>
          <c:cat>
            <c:strRef>
              <c:f>Sheet1!$A$2:$A$7</c:f>
              <c:strCache>
                <c:ptCount val="6"/>
                <c:pt idx="0">
                  <c:v>West Bank 2012/2013</c:v>
                </c:pt>
                <c:pt idx="1">
                  <c:v>Gaza Strip 2012/2013</c:v>
                </c:pt>
                <c:pt idx="2">
                  <c:v>Palestine 2012/2013</c:v>
                </c:pt>
                <c:pt idx="3">
                  <c:v>West Bank 2011/2012</c:v>
                </c:pt>
                <c:pt idx="4">
                  <c:v>Gaza Strip 2011/2012</c:v>
                </c:pt>
                <c:pt idx="5">
                  <c:v>Palestine 2011/2012</c:v>
                </c:pt>
              </c:strCache>
            </c:strRef>
          </c:cat>
          <c:val>
            <c:numRef>
              <c:f>Sheet1!$C$2:$C$7</c:f>
              <c:numCache>
                <c:formatCode>General</c:formatCode>
                <c:ptCount val="6"/>
                <c:pt idx="0">
                  <c:v>36.4</c:v>
                </c:pt>
                <c:pt idx="1">
                  <c:v>42.4</c:v>
                </c:pt>
                <c:pt idx="2">
                  <c:v>40.700000000000003</c:v>
                </c:pt>
                <c:pt idx="3">
                  <c:v>30.3</c:v>
                </c:pt>
                <c:pt idx="4">
                  <c:v>38.5</c:v>
                </c:pt>
                <c:pt idx="5">
                  <c:v>36.200000000000003</c:v>
                </c:pt>
              </c:numCache>
            </c:numRef>
          </c:val>
        </c:ser>
        <c:ser>
          <c:idx val="2"/>
          <c:order val="2"/>
          <c:tx>
            <c:strRef>
              <c:f>Sheet1!$D$1</c:f>
              <c:strCache>
                <c:ptCount val="1"/>
                <c:pt idx="0">
                  <c:v>Private</c:v>
                </c:pt>
              </c:strCache>
            </c:strRef>
          </c:tx>
          <c:dLbls>
            <c:spPr>
              <a:noFill/>
              <a:ln>
                <a:noFill/>
              </a:ln>
              <a:effectLst/>
            </c:spPr>
            <c:showVal val="1"/>
            <c:extLst>
              <c:ext xmlns:c15="http://schemas.microsoft.com/office/drawing/2012/chart" uri="{CE6537A1-D6FC-4f65-9D91-7224C49458BB}">
                <c15:showLeaderLines val="0"/>
              </c:ext>
            </c:extLst>
          </c:dLbls>
          <c:cat>
            <c:strRef>
              <c:f>Sheet1!$A$2:$A$7</c:f>
              <c:strCache>
                <c:ptCount val="6"/>
                <c:pt idx="0">
                  <c:v>West Bank 2012/2013</c:v>
                </c:pt>
                <c:pt idx="1">
                  <c:v>Gaza Strip 2012/2013</c:v>
                </c:pt>
                <c:pt idx="2">
                  <c:v>Palestine 2012/2013</c:v>
                </c:pt>
                <c:pt idx="3">
                  <c:v>West Bank 2011/2012</c:v>
                </c:pt>
                <c:pt idx="4">
                  <c:v>Gaza Strip 2011/2012</c:v>
                </c:pt>
                <c:pt idx="5">
                  <c:v>Palestine 2011/2012</c:v>
                </c:pt>
              </c:strCache>
            </c:strRef>
          </c:cat>
          <c:val>
            <c:numRef>
              <c:f>Sheet1!$D$2:$D$7</c:f>
              <c:numCache>
                <c:formatCode>0.0</c:formatCode>
                <c:ptCount val="6"/>
                <c:pt idx="0" formatCode="General">
                  <c:v>18.399999999999999</c:v>
                </c:pt>
                <c:pt idx="1">
                  <c:v>30</c:v>
                </c:pt>
                <c:pt idx="2" formatCode="General">
                  <c:v>19.899999999999999</c:v>
                </c:pt>
                <c:pt idx="3" formatCode="General">
                  <c:v>17.399999999999999</c:v>
                </c:pt>
                <c:pt idx="4" formatCode="General">
                  <c:v>12.5</c:v>
                </c:pt>
                <c:pt idx="5" formatCode="General">
                  <c:v>16.7</c:v>
                </c:pt>
              </c:numCache>
            </c:numRef>
          </c:val>
        </c:ser>
        <c:overlap val="100"/>
        <c:axId val="194511616"/>
        <c:axId val="194513152"/>
      </c:barChart>
      <c:catAx>
        <c:axId val="194511616"/>
        <c:scaling>
          <c:orientation val="minMax"/>
        </c:scaling>
        <c:axPos val="b"/>
        <c:numFmt formatCode="General" sourceLinked="0"/>
        <c:tickLblPos val="nextTo"/>
        <c:txPr>
          <a:bodyPr/>
          <a:lstStyle/>
          <a:p>
            <a:pPr>
              <a:defRPr sz="900">
                <a:latin typeface="Arial" pitchFamily="34" charset="0"/>
                <a:cs typeface="Arial" pitchFamily="34" charset="0"/>
              </a:defRPr>
            </a:pPr>
            <a:endParaRPr lang="en-US"/>
          </a:p>
        </c:txPr>
        <c:crossAx val="194513152"/>
        <c:crosses val="autoZero"/>
        <c:auto val="1"/>
        <c:lblAlgn val="ctr"/>
        <c:lblOffset val="100"/>
      </c:catAx>
      <c:valAx>
        <c:axId val="194513152"/>
        <c:scaling>
          <c:orientation val="minMax"/>
        </c:scaling>
        <c:delete val="1"/>
        <c:axPos val="l"/>
        <c:majorGridlines/>
        <c:numFmt formatCode="General" sourceLinked="1"/>
        <c:tickLblPos val="none"/>
        <c:crossAx val="194511616"/>
        <c:crosses val="autoZero"/>
        <c:crossBetween val="between"/>
      </c:valAx>
    </c:plotArea>
    <c:legend>
      <c:legendPos val="t"/>
      <c:layout>
        <c:manualLayout>
          <c:xMode val="edge"/>
          <c:yMode val="edge"/>
          <c:x val="0.21752210506837524"/>
          <c:y val="3.8842294983209652E-2"/>
          <c:w val="0.55895006662301516"/>
          <c:h val="0.10176905359086665"/>
        </c:manualLayout>
      </c:layout>
      <c:spPr>
        <a:ln>
          <a:solidFill>
            <a:srgbClr val="4F81BD"/>
          </a:solidFill>
        </a:ln>
      </c:spPr>
    </c:legend>
    <c:plotVisOnly val="1"/>
    <c:dispBlanksAs val="gap"/>
  </c:chart>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2.5455279610850194E-2"/>
          <c:y val="3.4090397604366315E-2"/>
          <c:w val="0.94908944077830104"/>
          <c:h val="0.78309817388472469"/>
        </c:manualLayout>
      </c:layout>
      <c:barChart>
        <c:barDir val="col"/>
        <c:grouping val="stacked"/>
        <c:ser>
          <c:idx val="0"/>
          <c:order val="0"/>
          <c:tx>
            <c:strRef>
              <c:f>Sheet1!$B$1</c:f>
              <c:strCache>
                <c:ptCount val="1"/>
                <c:pt idx="0">
                  <c:v>government</c:v>
                </c:pt>
              </c:strCache>
            </c:strRef>
          </c:tx>
          <c:spPr>
            <a:solidFill>
              <a:srgbClr val="EEECE1">
                <a:lumMod val="75000"/>
              </a:srgbClr>
            </a:solidFill>
          </c:spPr>
          <c:dLbls>
            <c:spPr>
              <a:noFill/>
              <a:ln>
                <a:noFill/>
              </a:ln>
              <a:effectLst/>
            </c:spPr>
            <c:showVal val="1"/>
            <c:extLst>
              <c:ext xmlns:c15="http://schemas.microsoft.com/office/drawing/2012/chart" uri="{CE6537A1-D6FC-4f65-9D91-7224C49458BB}">
                <c15:showLeaderLines val="0"/>
              </c:ext>
            </c:extLst>
          </c:dLbls>
          <c:cat>
            <c:strRef>
              <c:f>Sheet1!$A$2:$A$7</c:f>
              <c:strCache>
                <c:ptCount val="6"/>
                <c:pt idx="0">
                  <c:v>West Bank 2012/2013</c:v>
                </c:pt>
                <c:pt idx="1">
                  <c:v>Gaza Strip 2012/2013</c:v>
                </c:pt>
                <c:pt idx="2">
                  <c:v>Palestine 2012/2013</c:v>
                </c:pt>
                <c:pt idx="3">
                  <c:v>West Bank 2011/2012</c:v>
                </c:pt>
                <c:pt idx="4">
                  <c:v>Gaza Strip 2011/2012</c:v>
                </c:pt>
                <c:pt idx="5">
                  <c:v>Palestine 2011/2012</c:v>
                </c:pt>
              </c:strCache>
            </c:strRef>
          </c:cat>
          <c:val>
            <c:numRef>
              <c:f>Sheet1!$B$2:$B$7</c:f>
              <c:numCache>
                <c:formatCode>0.0</c:formatCode>
                <c:ptCount val="6"/>
                <c:pt idx="0" formatCode="General">
                  <c:v>58.5</c:v>
                </c:pt>
                <c:pt idx="1">
                  <c:v>69</c:v>
                </c:pt>
                <c:pt idx="2" formatCode="General">
                  <c:v>60.5</c:v>
                </c:pt>
                <c:pt idx="3">
                  <c:v>56</c:v>
                </c:pt>
                <c:pt idx="4" formatCode="General">
                  <c:v>61.6</c:v>
                </c:pt>
                <c:pt idx="5" formatCode="General">
                  <c:v>57.3</c:v>
                </c:pt>
              </c:numCache>
            </c:numRef>
          </c:val>
        </c:ser>
        <c:ser>
          <c:idx val="1"/>
          <c:order val="1"/>
          <c:tx>
            <c:strRef>
              <c:f>Sheet1!$C$1</c:f>
              <c:strCache>
                <c:ptCount val="1"/>
                <c:pt idx="0">
                  <c:v>UNRWA</c:v>
                </c:pt>
              </c:strCache>
            </c:strRef>
          </c:tx>
          <c:dLbls>
            <c:spPr>
              <a:noFill/>
              <a:ln>
                <a:noFill/>
              </a:ln>
              <a:effectLst/>
            </c:spPr>
            <c:showVal val="1"/>
            <c:extLst>
              <c:ext xmlns:c15="http://schemas.microsoft.com/office/drawing/2012/chart" uri="{CE6537A1-D6FC-4f65-9D91-7224C49458BB}">
                <c15:showLeaderLines val="0"/>
              </c:ext>
            </c:extLst>
          </c:dLbls>
          <c:cat>
            <c:strRef>
              <c:f>Sheet1!$A$2:$A$7</c:f>
              <c:strCache>
                <c:ptCount val="6"/>
                <c:pt idx="0">
                  <c:v>West Bank 2012/2013</c:v>
                </c:pt>
                <c:pt idx="1">
                  <c:v>Gaza Strip 2012/2013</c:v>
                </c:pt>
                <c:pt idx="2">
                  <c:v>Palestine 2012/2013</c:v>
                </c:pt>
                <c:pt idx="3">
                  <c:v>West Bank 2011/2012</c:v>
                </c:pt>
                <c:pt idx="4">
                  <c:v>Gaza Strip 2011/2012</c:v>
                </c:pt>
                <c:pt idx="5">
                  <c:v>Palestine 2011/2012</c:v>
                </c:pt>
              </c:strCache>
            </c:strRef>
          </c:cat>
          <c:val>
            <c:numRef>
              <c:f>Sheet1!$C$2:$C$7</c:f>
              <c:numCache>
                <c:formatCode>General</c:formatCode>
                <c:ptCount val="6"/>
                <c:pt idx="0">
                  <c:v>57.6</c:v>
                </c:pt>
                <c:pt idx="1">
                  <c:v>54.3</c:v>
                </c:pt>
                <c:pt idx="2">
                  <c:v>55.2</c:v>
                </c:pt>
                <c:pt idx="3">
                  <c:v>59.6</c:v>
                </c:pt>
                <c:pt idx="4">
                  <c:v>45.9</c:v>
                </c:pt>
                <c:pt idx="5">
                  <c:v>49.9</c:v>
                </c:pt>
              </c:numCache>
            </c:numRef>
          </c:val>
        </c:ser>
        <c:ser>
          <c:idx val="2"/>
          <c:order val="2"/>
          <c:tx>
            <c:strRef>
              <c:f>Sheet1!$D$1</c:f>
              <c:strCache>
                <c:ptCount val="1"/>
                <c:pt idx="0">
                  <c:v>Private</c:v>
                </c:pt>
              </c:strCache>
            </c:strRef>
          </c:tx>
          <c:dLbls>
            <c:spPr>
              <a:noFill/>
              <a:ln>
                <a:noFill/>
              </a:ln>
              <a:effectLst/>
            </c:spPr>
            <c:showVal val="1"/>
            <c:extLst>
              <c:ext xmlns:c15="http://schemas.microsoft.com/office/drawing/2012/chart" uri="{CE6537A1-D6FC-4f65-9D91-7224C49458BB}">
                <c15:showLeaderLines val="0"/>
              </c:ext>
            </c:extLst>
          </c:dLbls>
          <c:cat>
            <c:strRef>
              <c:f>Sheet1!$A$2:$A$7</c:f>
              <c:strCache>
                <c:ptCount val="6"/>
                <c:pt idx="0">
                  <c:v>West Bank 2012/2013</c:v>
                </c:pt>
                <c:pt idx="1">
                  <c:v>Gaza Strip 2012/2013</c:v>
                </c:pt>
                <c:pt idx="2">
                  <c:v>Palestine 2012/2013</c:v>
                </c:pt>
                <c:pt idx="3">
                  <c:v>West Bank 2011/2012</c:v>
                </c:pt>
                <c:pt idx="4">
                  <c:v>Gaza Strip 2011/2012</c:v>
                </c:pt>
                <c:pt idx="5">
                  <c:v>Palestine 2011/2012</c:v>
                </c:pt>
              </c:strCache>
            </c:strRef>
          </c:cat>
          <c:val>
            <c:numRef>
              <c:f>Sheet1!$D$2:$D$7</c:f>
              <c:numCache>
                <c:formatCode>0.0</c:formatCode>
                <c:ptCount val="6"/>
                <c:pt idx="0" formatCode="General">
                  <c:v>19.899999999999999</c:v>
                </c:pt>
                <c:pt idx="1">
                  <c:v>34</c:v>
                </c:pt>
                <c:pt idx="2" formatCode="General">
                  <c:v>21.8</c:v>
                </c:pt>
                <c:pt idx="3" formatCode="General">
                  <c:v>19.899999999999999</c:v>
                </c:pt>
                <c:pt idx="4" formatCode="General">
                  <c:v>10.4</c:v>
                </c:pt>
                <c:pt idx="5" formatCode="General">
                  <c:v>18.7</c:v>
                </c:pt>
              </c:numCache>
            </c:numRef>
          </c:val>
        </c:ser>
        <c:overlap val="100"/>
        <c:axId val="194847104"/>
        <c:axId val="194848640"/>
      </c:barChart>
      <c:catAx>
        <c:axId val="194847104"/>
        <c:scaling>
          <c:orientation val="minMax"/>
        </c:scaling>
        <c:axPos val="b"/>
        <c:numFmt formatCode="General" sourceLinked="0"/>
        <c:tickLblPos val="nextTo"/>
        <c:txPr>
          <a:bodyPr/>
          <a:lstStyle/>
          <a:p>
            <a:pPr>
              <a:defRPr sz="900">
                <a:latin typeface="Arial" pitchFamily="34" charset="0"/>
                <a:cs typeface="Arial" pitchFamily="34" charset="0"/>
              </a:defRPr>
            </a:pPr>
            <a:endParaRPr lang="en-US"/>
          </a:p>
        </c:txPr>
        <c:crossAx val="194848640"/>
        <c:crosses val="autoZero"/>
        <c:auto val="1"/>
        <c:lblAlgn val="ctr"/>
        <c:lblOffset val="100"/>
      </c:catAx>
      <c:valAx>
        <c:axId val="194848640"/>
        <c:scaling>
          <c:orientation val="minMax"/>
        </c:scaling>
        <c:delete val="1"/>
        <c:axPos val="l"/>
        <c:majorGridlines/>
        <c:numFmt formatCode="General" sourceLinked="1"/>
        <c:tickLblPos val="none"/>
        <c:crossAx val="194847104"/>
        <c:crosses val="autoZero"/>
        <c:crossBetween val="between"/>
      </c:valAx>
    </c:plotArea>
    <c:legend>
      <c:legendPos val="t"/>
      <c:layout>
        <c:manualLayout>
          <c:xMode val="edge"/>
          <c:yMode val="edge"/>
          <c:x val="0.34826335883092929"/>
          <c:y val="5.9392382819100947E-2"/>
          <c:w val="0.43888863004550693"/>
          <c:h val="0.12636108697449094"/>
        </c:manualLayout>
      </c:layout>
      <c:spPr>
        <a:ln>
          <a:solidFill>
            <a:srgbClr val="4F81BD"/>
          </a:solidFill>
        </a:ln>
      </c:spPr>
    </c:legend>
    <c:plotVisOnly val="1"/>
    <c:dispBlanksAs val="gap"/>
  </c:chart>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3457069421696722E-2"/>
          <c:y val="7.0649026181733562E-2"/>
          <c:w val="0.76898540653592551"/>
          <c:h val="0.77809954586723618"/>
        </c:manualLayout>
      </c:layout>
      <c:barChart>
        <c:barDir val="col"/>
        <c:grouping val="clustered"/>
        <c:ser>
          <c:idx val="1"/>
          <c:order val="0"/>
          <c:tx>
            <c:strRef>
              <c:f>Sheet1!$A$2</c:f>
              <c:strCache>
                <c:ptCount val="1"/>
                <c:pt idx="0">
                  <c:v>Yes always</c:v>
                </c:pt>
              </c:strCache>
            </c:strRef>
          </c:tx>
          <c:spPr>
            <a:solidFill>
              <a:srgbClr val="993366"/>
            </a:solidFill>
            <a:ln w="12699">
              <a:solidFill>
                <a:srgbClr val="000000"/>
              </a:solidFill>
              <a:prstDash val="solid"/>
            </a:ln>
          </c:spPr>
          <c:dLbls>
            <c:dLbl>
              <c:idx val="4"/>
              <c:numFmt formatCode="0.0" sourceLinked="0"/>
              <c:spPr>
                <a:noFill/>
                <a:ln w="25398">
                  <a:noFill/>
                </a:ln>
              </c:spPr>
              <c:txPr>
                <a:bodyPr/>
                <a:lstStyle/>
                <a:p>
                  <a:pPr>
                    <a:defRPr sz="675" b="0" i="0" u="none" strike="noStrike" baseline="0">
                      <a:solidFill>
                        <a:srgbClr val="000000"/>
                      </a:solidFill>
                      <a:latin typeface="Times New Roman"/>
                      <a:ea typeface="Times New Roman"/>
                      <a:cs typeface="Times New Roman"/>
                    </a:defRPr>
                  </a:pPr>
                  <a:endParaRPr lang="en-US"/>
                </a:p>
              </c:txPr>
            </c:dLbl>
            <c:numFmt formatCode="0.0" sourceLinked="0"/>
            <c:spPr>
              <a:noFill/>
              <a:ln w="25398">
                <a:noFill/>
              </a:ln>
            </c:spPr>
            <c:txPr>
              <a:bodyPr/>
              <a:lstStyle/>
              <a:p>
                <a:pPr>
                  <a:defRPr sz="900" b="0" i="0" u="none" strike="noStrike" baseline="0">
                    <a:solidFill>
                      <a:srgbClr val="000000"/>
                    </a:solidFill>
                    <a:latin typeface="Arial"/>
                    <a:ea typeface="Arial"/>
                    <a:cs typeface="Arial"/>
                  </a:defRPr>
                </a:pPr>
                <a:endParaRPr lang="en-US"/>
              </a:p>
            </c:txPr>
            <c:dLblPos val="outEnd"/>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c:v>
                </c:pt>
              </c:strCache>
            </c:strRef>
          </c:cat>
          <c:val>
            <c:numRef>
              <c:f>Sheet1!$B$2:$D$2</c:f>
              <c:numCache>
                <c:formatCode>General</c:formatCode>
                <c:ptCount val="3"/>
                <c:pt idx="0">
                  <c:v>62.5</c:v>
                </c:pt>
                <c:pt idx="1">
                  <c:v>62.7</c:v>
                </c:pt>
                <c:pt idx="2">
                  <c:v>61.9</c:v>
                </c:pt>
              </c:numCache>
            </c:numRef>
          </c:val>
        </c:ser>
        <c:ser>
          <c:idx val="2"/>
          <c:order val="1"/>
          <c:tx>
            <c:strRef>
              <c:f>Sheet1!$A$3</c:f>
              <c:strCache>
                <c:ptCount val="1"/>
                <c:pt idx="0">
                  <c:v>yes sometimes</c:v>
                </c:pt>
              </c:strCache>
            </c:strRef>
          </c:tx>
          <c:spPr>
            <a:solidFill>
              <a:srgbClr val="FFFFCC"/>
            </a:solidFill>
            <a:ln w="12699">
              <a:solidFill>
                <a:srgbClr val="000000"/>
              </a:solidFill>
              <a:prstDash val="solid"/>
            </a:ln>
          </c:spPr>
          <c:dLbls>
            <c:numFmt formatCode="0.0" sourceLinked="0"/>
            <c:spPr>
              <a:noFill/>
              <a:ln w="25398">
                <a:noFill/>
              </a:ln>
            </c:spPr>
            <c:txPr>
              <a:bodyPr/>
              <a:lstStyle/>
              <a:p>
                <a:pPr>
                  <a:defRPr sz="900" b="0" i="0" u="none" strike="noStrike" baseline="0">
                    <a:solidFill>
                      <a:srgbClr val="000000"/>
                    </a:solidFill>
                    <a:latin typeface="Arial"/>
                    <a:ea typeface="Arial"/>
                    <a:cs typeface="Arial"/>
                  </a:defRPr>
                </a:pPr>
                <a:endParaRPr lang="en-US"/>
              </a:p>
            </c:txPr>
            <c:dLblPos val="outEnd"/>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c:v>
                </c:pt>
              </c:strCache>
            </c:strRef>
          </c:cat>
          <c:val>
            <c:numRef>
              <c:f>Sheet1!$B$3:$D$3</c:f>
              <c:numCache>
                <c:formatCode>General</c:formatCode>
                <c:ptCount val="3"/>
                <c:pt idx="0">
                  <c:v>21.9</c:v>
                </c:pt>
                <c:pt idx="1">
                  <c:v>22.5</c:v>
                </c:pt>
                <c:pt idx="2">
                  <c:v>20.5</c:v>
                </c:pt>
              </c:numCache>
            </c:numRef>
          </c:val>
        </c:ser>
        <c:ser>
          <c:idx val="0"/>
          <c:order val="2"/>
          <c:tx>
            <c:strRef>
              <c:f>Sheet1!$A$4</c:f>
              <c:strCache>
                <c:ptCount val="1"/>
                <c:pt idx="0">
                  <c:v>No</c:v>
                </c:pt>
              </c:strCache>
            </c:strRef>
          </c:tx>
          <c:dLbls>
            <c:spPr>
              <a:noFill/>
              <a:ln>
                <a:noFill/>
              </a:ln>
              <a:effectLst/>
            </c:spPr>
            <c:txPr>
              <a:bodyPr/>
              <a:lstStyle/>
              <a:p>
                <a:pPr>
                  <a:defRPr sz="900" b="0"/>
                </a:pPr>
                <a:endParaRPr lang="en-US"/>
              </a:p>
            </c:txPr>
            <c:dLblPos val="outEnd"/>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c:v>
                </c:pt>
              </c:strCache>
            </c:strRef>
          </c:cat>
          <c:val>
            <c:numRef>
              <c:f>Sheet1!$B$4:$D$4</c:f>
              <c:numCache>
                <c:formatCode>General</c:formatCode>
                <c:ptCount val="3"/>
                <c:pt idx="0">
                  <c:v>15.6</c:v>
                </c:pt>
                <c:pt idx="1">
                  <c:v>14.8</c:v>
                </c:pt>
                <c:pt idx="2">
                  <c:v>17.600000000000001</c:v>
                </c:pt>
              </c:numCache>
            </c:numRef>
          </c:val>
        </c:ser>
        <c:axId val="194908544"/>
        <c:axId val="194910080"/>
      </c:barChart>
      <c:catAx>
        <c:axId val="194908544"/>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194910080"/>
        <c:crosses val="autoZero"/>
        <c:auto val="1"/>
        <c:lblAlgn val="ctr"/>
        <c:lblOffset val="100"/>
        <c:tickLblSkip val="1"/>
        <c:tickMarkSkip val="1"/>
      </c:catAx>
      <c:valAx>
        <c:axId val="194910080"/>
        <c:scaling>
          <c:orientation val="minMax"/>
          <c:max val="100"/>
        </c:scaling>
        <c:axPos val="l"/>
        <c:majorGridlines/>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Arial"/>
                <a:ea typeface="Arial"/>
                <a:cs typeface="Arial"/>
              </a:defRPr>
            </a:pPr>
            <a:endParaRPr lang="en-US"/>
          </a:p>
        </c:txPr>
        <c:crossAx val="194908544"/>
        <c:crosses val="autoZero"/>
        <c:crossBetween val="between"/>
        <c:majorUnit val="20"/>
        <c:minorUnit val="4"/>
      </c:valAx>
      <c:spPr>
        <a:noFill/>
        <a:ln w="25398">
          <a:noFill/>
        </a:ln>
      </c:spPr>
    </c:plotArea>
    <c:legend>
      <c:legendPos val="t"/>
      <c:layout>
        <c:manualLayout>
          <c:xMode val="edge"/>
          <c:yMode val="edge"/>
          <c:x val="0.81827733289515314"/>
          <c:y val="2.4611582180555296E-2"/>
          <c:w val="0.16556181795455205"/>
          <c:h val="0.50491782023744158"/>
        </c:manualLayout>
      </c:layout>
      <c:spPr>
        <a:noFill/>
        <a:ln w="3175">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en-US"/>
        </a:p>
      </c:tx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50" b="1" i="0" u="none" strike="noStrike" baseline="0">
          <a:solidFill>
            <a:srgbClr val="000000"/>
          </a:solidFill>
          <a:latin typeface="Arial"/>
          <a:ea typeface="Arial"/>
          <a:cs typeface="Arial"/>
        </a:defRPr>
      </a:pPr>
      <a:endParaRPr lang="en-US"/>
    </a:p>
  </c:txPr>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3023129561715042E-2"/>
          <c:y val="0.12891119912494994"/>
          <c:w val="0.78312138469859927"/>
          <c:h val="0.7529040878975416"/>
        </c:manualLayout>
      </c:layout>
      <c:barChart>
        <c:barDir val="col"/>
        <c:grouping val="clustered"/>
        <c:ser>
          <c:idx val="0"/>
          <c:order val="0"/>
          <c:tx>
            <c:strRef>
              <c:f>Sheet1!$B$1</c:f>
              <c:strCache>
                <c:ptCount val="1"/>
                <c:pt idx="0">
                  <c:v>Yes always</c:v>
                </c:pt>
              </c:strCache>
            </c:strRef>
          </c:tx>
          <c:dLbls>
            <c:dLbl>
              <c:idx val="0"/>
              <c:tx>
                <c:rich>
                  <a:bodyPr/>
                  <a:lstStyle/>
                  <a:p>
                    <a:r>
                      <a:rPr lang="en-US" sz="900"/>
                      <a:t>5</a:t>
                    </a:r>
                    <a:r>
                      <a:rPr lang="en-US"/>
                      <a:t>3.5</a:t>
                    </a:r>
                  </a:p>
                </c:rich>
              </c:tx>
              <c:showVal val="1"/>
              <c:extLst>
                <c:ext xmlns:c15="http://schemas.microsoft.com/office/drawing/2012/chart" uri="{CE6537A1-D6FC-4f65-9D91-7224C49458BB}"/>
              </c:extLst>
            </c:dLbl>
            <c:dLbl>
              <c:idx val="1"/>
              <c:tx>
                <c:rich>
                  <a:bodyPr/>
                  <a:lstStyle/>
                  <a:p>
                    <a:r>
                      <a:rPr lang="en-US" sz="900"/>
                      <a:t>5</a:t>
                    </a:r>
                    <a:r>
                      <a:rPr lang="en-US"/>
                      <a:t>0.4</a:t>
                    </a:r>
                  </a:p>
                </c:rich>
              </c:tx>
              <c:showVal val="1"/>
              <c:extLst>
                <c:ext xmlns:c15="http://schemas.microsoft.com/office/drawing/2012/chart" uri="{CE6537A1-D6FC-4f65-9D91-7224C49458BB}"/>
              </c:extLst>
            </c:dLbl>
            <c:dLbl>
              <c:idx val="3"/>
              <c:tx>
                <c:rich>
                  <a:bodyPr/>
                  <a:lstStyle/>
                  <a:p>
                    <a:r>
                      <a:rPr lang="en-US" sz="900"/>
                      <a:t>5</a:t>
                    </a:r>
                    <a:r>
                      <a:rPr lang="en-US"/>
                      <a:t>8.1</a:t>
                    </a:r>
                  </a:p>
                </c:rich>
              </c:tx>
              <c:showVal val="1"/>
              <c:extLst>
                <c:ext xmlns:c15="http://schemas.microsoft.com/office/drawing/2012/chart" uri="{CE6537A1-D6FC-4f65-9D91-7224C49458BB}"/>
              </c:extLst>
            </c:dLbl>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West Bank</c:v>
                </c:pt>
                <c:pt idx="1">
                  <c:v>Gaza Strip</c:v>
                </c:pt>
                <c:pt idx="2">
                  <c:v>Urban</c:v>
                </c:pt>
                <c:pt idx="3">
                  <c:v>Rural</c:v>
                </c:pt>
                <c:pt idx="4">
                  <c:v>Camps</c:v>
                </c:pt>
              </c:strCache>
            </c:strRef>
          </c:cat>
          <c:val>
            <c:numRef>
              <c:f>Sheet1!$B$2:$B$6</c:f>
              <c:numCache>
                <c:formatCode>0.0</c:formatCode>
                <c:ptCount val="5"/>
                <c:pt idx="0">
                  <c:v>53.4</c:v>
                </c:pt>
                <c:pt idx="1">
                  <c:v>50.3</c:v>
                </c:pt>
                <c:pt idx="2">
                  <c:v>51.4</c:v>
                </c:pt>
                <c:pt idx="3">
                  <c:v>58</c:v>
                </c:pt>
                <c:pt idx="4">
                  <c:v>48.9</c:v>
                </c:pt>
              </c:numCache>
            </c:numRef>
          </c:val>
        </c:ser>
        <c:ser>
          <c:idx val="1"/>
          <c:order val="1"/>
          <c:tx>
            <c:strRef>
              <c:f>Sheet1!$C$1</c:f>
              <c:strCache>
                <c:ptCount val="1"/>
                <c:pt idx="0">
                  <c:v>Yes sometimes</c:v>
                </c:pt>
              </c:strCache>
            </c:strRef>
          </c:tx>
          <c:spPr>
            <a:solidFill>
              <a:schemeClr val="accent5">
                <a:lumMod val="60000"/>
                <a:lumOff val="40000"/>
              </a:schemeClr>
            </a:solidFill>
          </c:spPr>
          <c:dLbls>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West Bank</c:v>
                </c:pt>
                <c:pt idx="1">
                  <c:v>Gaza Strip</c:v>
                </c:pt>
                <c:pt idx="2">
                  <c:v>Urban</c:v>
                </c:pt>
                <c:pt idx="3">
                  <c:v>Rural</c:v>
                </c:pt>
                <c:pt idx="4">
                  <c:v>Camps</c:v>
                </c:pt>
              </c:strCache>
            </c:strRef>
          </c:cat>
          <c:val>
            <c:numRef>
              <c:f>Sheet1!$C$2:$C$6</c:f>
              <c:numCache>
                <c:formatCode>0.0</c:formatCode>
                <c:ptCount val="5"/>
                <c:pt idx="0">
                  <c:v>23.1</c:v>
                </c:pt>
                <c:pt idx="1">
                  <c:v>22.3</c:v>
                </c:pt>
                <c:pt idx="2">
                  <c:v>23</c:v>
                </c:pt>
                <c:pt idx="3">
                  <c:v>20.399999999999999</c:v>
                </c:pt>
                <c:pt idx="4">
                  <c:v>26.3</c:v>
                </c:pt>
              </c:numCache>
            </c:numRef>
          </c:val>
        </c:ser>
        <c:ser>
          <c:idx val="2"/>
          <c:order val="2"/>
          <c:tx>
            <c:strRef>
              <c:f>Sheet1!$D$1</c:f>
              <c:strCache>
                <c:ptCount val="1"/>
                <c:pt idx="0">
                  <c:v>No</c:v>
                </c:pt>
              </c:strCache>
            </c:strRef>
          </c:tx>
          <c:spPr>
            <a:solidFill>
              <a:schemeClr val="bg2">
                <a:lumMod val="25000"/>
              </a:schemeClr>
            </a:solidFill>
          </c:spPr>
          <c:dLbls>
            <c:spPr>
              <a:noFill/>
              <a:ln>
                <a:noFill/>
              </a:ln>
              <a:effectLst/>
            </c:spPr>
            <c:txPr>
              <a:bodyPr/>
              <a:lstStyle/>
              <a:p>
                <a:pPr>
                  <a:defRPr sz="900"/>
                </a:pPr>
                <a:endParaRPr lang="en-US"/>
              </a:p>
            </c:txPr>
            <c:showVal val="1"/>
            <c:extLst>
              <c:ext xmlns:c15="http://schemas.microsoft.com/office/drawing/2012/chart" uri="{CE6537A1-D6FC-4f65-9D91-7224C49458BB}">
                <c15:showLeaderLines val="0"/>
              </c:ext>
            </c:extLst>
          </c:dLbls>
          <c:cat>
            <c:strRef>
              <c:f>Sheet1!$A$2:$A$6</c:f>
              <c:strCache>
                <c:ptCount val="5"/>
                <c:pt idx="0">
                  <c:v>West Bank</c:v>
                </c:pt>
                <c:pt idx="1">
                  <c:v>Gaza Strip</c:v>
                </c:pt>
                <c:pt idx="2">
                  <c:v>Urban</c:v>
                </c:pt>
                <c:pt idx="3">
                  <c:v>Rural</c:v>
                </c:pt>
                <c:pt idx="4">
                  <c:v>Camps</c:v>
                </c:pt>
              </c:strCache>
            </c:strRef>
          </c:cat>
          <c:val>
            <c:numRef>
              <c:f>Sheet1!$D$2:$D$6</c:f>
              <c:numCache>
                <c:formatCode>0.0</c:formatCode>
                <c:ptCount val="5"/>
                <c:pt idx="0">
                  <c:v>23.4</c:v>
                </c:pt>
                <c:pt idx="1">
                  <c:v>27.3</c:v>
                </c:pt>
                <c:pt idx="2">
                  <c:v>25.6</c:v>
                </c:pt>
                <c:pt idx="3">
                  <c:v>21.5</c:v>
                </c:pt>
                <c:pt idx="4">
                  <c:v>24.8</c:v>
                </c:pt>
              </c:numCache>
            </c:numRef>
          </c:val>
        </c:ser>
        <c:gapWidth val="39"/>
        <c:axId val="194695168"/>
        <c:axId val="194696704"/>
      </c:barChart>
      <c:catAx>
        <c:axId val="194695168"/>
        <c:scaling>
          <c:orientation val="minMax"/>
        </c:scaling>
        <c:axPos val="b"/>
        <c:numFmt formatCode="General" sourceLinked="0"/>
        <c:majorTickMark val="none"/>
        <c:tickLblPos val="nextTo"/>
        <c:crossAx val="194696704"/>
        <c:crosses val="autoZero"/>
        <c:auto val="1"/>
        <c:lblAlgn val="ctr"/>
        <c:lblOffset val="100"/>
      </c:catAx>
      <c:valAx>
        <c:axId val="194696704"/>
        <c:scaling>
          <c:orientation val="minMax"/>
          <c:max val="60"/>
        </c:scaling>
        <c:axPos val="l"/>
        <c:majorGridlines/>
        <c:numFmt formatCode="0" sourceLinked="0"/>
        <c:majorTickMark val="none"/>
        <c:tickLblPos val="nextTo"/>
        <c:spPr>
          <a:ln w="9525">
            <a:noFill/>
          </a:ln>
        </c:spPr>
        <c:crossAx val="194695168"/>
        <c:crosses val="autoZero"/>
        <c:crossBetween val="between"/>
      </c:valAx>
      <c:spPr>
        <a:noFill/>
        <a:ln w="9525">
          <a:solidFill>
            <a:srgbClr val="4F81BD"/>
          </a:solidFill>
        </a:ln>
      </c:spPr>
    </c:plotArea>
    <c:legend>
      <c:legendPos val="b"/>
      <c:layout>
        <c:manualLayout>
          <c:xMode val="edge"/>
          <c:yMode val="edge"/>
          <c:x val="0.86453631703812495"/>
          <c:y val="0.12705945923668527"/>
          <c:w val="0.12502065886516836"/>
          <c:h val="0.65028334092724727"/>
        </c:manualLayout>
      </c:layout>
      <c:spPr>
        <a:noFill/>
        <a:ln>
          <a:solidFill>
            <a:srgbClr val="4F81BD"/>
          </a:solidFill>
        </a:ln>
      </c:spPr>
      <c:txPr>
        <a:bodyPr/>
        <a:lstStyle/>
        <a:p>
          <a:pPr>
            <a:defRPr sz="900"/>
          </a:pPr>
          <a:endParaRPr lang="en-US"/>
        </a:p>
      </c:txPr>
    </c:legend>
    <c:plotVisOnly val="1"/>
    <c:dispBlanksAs val="gap"/>
  </c:chart>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5.9990339749199033E-2"/>
          <c:y val="4.4057617797775513E-2"/>
          <c:w val="0.7882746427529892"/>
          <c:h val="0.80369855004233315"/>
        </c:manualLayout>
      </c:layout>
      <c:barChart>
        <c:barDir val="col"/>
        <c:grouping val="clustered"/>
        <c:ser>
          <c:idx val="0"/>
          <c:order val="0"/>
          <c:tx>
            <c:strRef>
              <c:f>Sheet1!$B$1</c:f>
              <c:strCache>
                <c:ptCount val="1"/>
                <c:pt idx="0">
                  <c:v>Uses</c:v>
                </c:pt>
              </c:strCache>
            </c:strRef>
          </c:tx>
          <c:spPr>
            <a:solidFill>
              <a:schemeClr val="bg2">
                <a:lumMod val="75000"/>
              </a:schemeClr>
            </a:solidFill>
          </c:spPr>
          <c:dLbls>
            <c:dLbl>
              <c:idx val="0"/>
              <c:dLblPos val="outEnd"/>
              <c:showVal val="1"/>
              <c:extLst>
                <c:ext xmlns:c15="http://schemas.microsoft.com/office/drawing/2012/chart" uri="{CE6537A1-D6FC-4f65-9D91-7224C49458BB}"/>
              </c:extLst>
            </c:dLbl>
            <c:dLbl>
              <c:idx val="1"/>
              <c:dLblPos val="outEnd"/>
              <c:showVal val="1"/>
              <c:extLst>
                <c:ext xmlns:c15="http://schemas.microsoft.com/office/drawing/2012/chart" uri="{CE6537A1-D6FC-4f65-9D91-7224C49458BB}"/>
              </c:extLst>
            </c:dLbl>
            <c:dLbl>
              <c:idx val="2"/>
              <c:dLblPos val="outEnd"/>
              <c:showVal val="1"/>
              <c:extLst>
                <c:ext xmlns:c15="http://schemas.microsoft.com/office/drawing/2012/chart" uri="{CE6537A1-D6FC-4f65-9D91-7224C49458BB}"/>
              </c:extLst>
            </c:dLbl>
            <c:dLbl>
              <c:idx val="3"/>
              <c:dLblPos val="outEnd"/>
              <c:showVal val="1"/>
              <c:extLst>
                <c:ext xmlns:c15="http://schemas.microsoft.com/office/drawing/2012/chart" uri="{CE6537A1-D6FC-4f65-9D91-7224C49458BB}"/>
              </c:extLst>
            </c:dLbl>
            <c:dLbl>
              <c:idx val="4"/>
              <c:dLblPos val="outEnd"/>
              <c:showVal val="1"/>
              <c:extLst>
                <c:ext xmlns:c15="http://schemas.microsoft.com/office/drawing/2012/chart" uri="{CE6537A1-D6FC-4f65-9D91-7224C49458BB}"/>
              </c:extLst>
            </c:dLbl>
            <c:delete val="1"/>
            <c:spPr>
              <a:noFill/>
              <a:ln>
                <a:noFill/>
              </a:ln>
              <a:effectLst/>
            </c:spPr>
            <c:txPr>
              <a:bodyPr/>
              <a:lstStyle/>
              <a:p>
                <a:pPr>
                  <a:defRPr sz="800">
                    <a:latin typeface="Arial" pitchFamily="34" charset="0"/>
                    <a:cs typeface="Arial" pitchFamily="34" charset="0"/>
                  </a:defRPr>
                </a:pPr>
                <a:endParaRPr lang="en-US"/>
              </a:p>
            </c:txPr>
            <c:extLst>
              <c:ext xmlns:c15="http://schemas.microsoft.com/office/drawing/2012/chart" uri="{CE6537A1-D6FC-4f65-9D91-7224C49458BB}">
                <c15:showLeaderLines val="0"/>
              </c:ext>
            </c:extLst>
          </c:dLbls>
          <c:cat>
            <c:strRef>
              <c:f>Sheet1!$A$2:$A$6</c:f>
              <c:strCache>
                <c:ptCount val="5"/>
                <c:pt idx="0">
                  <c:v>Palestine</c:v>
                </c:pt>
                <c:pt idx="1">
                  <c:v>West Bank</c:v>
                </c:pt>
                <c:pt idx="2">
                  <c:v>Gaza Strip</c:v>
                </c:pt>
                <c:pt idx="3">
                  <c:v>Male</c:v>
                </c:pt>
                <c:pt idx="4">
                  <c:v>Female</c:v>
                </c:pt>
              </c:strCache>
            </c:strRef>
          </c:cat>
          <c:val>
            <c:numRef>
              <c:f>Sheet1!$B$2:$B$6</c:f>
              <c:numCache>
                <c:formatCode>General</c:formatCode>
                <c:ptCount val="5"/>
                <c:pt idx="0">
                  <c:v>68.8</c:v>
                </c:pt>
                <c:pt idx="1">
                  <c:v>74.099999999999994</c:v>
                </c:pt>
                <c:pt idx="2">
                  <c:v>59.5</c:v>
                </c:pt>
                <c:pt idx="3">
                  <c:v>80.599999999999994</c:v>
                </c:pt>
                <c:pt idx="4">
                  <c:v>53.3</c:v>
                </c:pt>
              </c:numCache>
            </c:numRef>
          </c:val>
        </c:ser>
        <c:ser>
          <c:idx val="1"/>
          <c:order val="1"/>
          <c:tx>
            <c:strRef>
              <c:f>Sheet1!$C$1</c:f>
              <c:strCache>
                <c:ptCount val="1"/>
                <c:pt idx="0">
                  <c:v>Does not Use</c:v>
                </c:pt>
              </c:strCache>
            </c:strRef>
          </c:tx>
          <c:dLbls>
            <c:spPr>
              <a:noFill/>
              <a:ln>
                <a:noFill/>
              </a:ln>
              <a:effectLst/>
            </c:spPr>
            <c:txPr>
              <a:bodyPr/>
              <a:lstStyle/>
              <a:p>
                <a:pPr>
                  <a:defRPr sz="800">
                    <a:latin typeface="Arial" pitchFamily="34" charset="0"/>
                    <a:cs typeface="Arial" pitchFamily="34" charset="0"/>
                  </a:defRPr>
                </a:pPr>
                <a:endParaRPr lang="en-US"/>
              </a:p>
            </c:txPr>
            <c:dLblPos val="outEnd"/>
            <c:showVal val="1"/>
            <c:extLst>
              <c:ext xmlns:c15="http://schemas.microsoft.com/office/drawing/2012/chart" uri="{CE6537A1-D6FC-4f65-9D91-7224C49458BB}">
                <c15:showLeaderLines val="0"/>
              </c:ext>
            </c:extLst>
          </c:dLbls>
          <c:cat>
            <c:strRef>
              <c:f>Sheet1!$A$2:$A$6</c:f>
              <c:strCache>
                <c:ptCount val="5"/>
                <c:pt idx="0">
                  <c:v>Palestine</c:v>
                </c:pt>
                <c:pt idx="1">
                  <c:v>West Bank</c:v>
                </c:pt>
                <c:pt idx="2">
                  <c:v>Gaza Strip</c:v>
                </c:pt>
                <c:pt idx="3">
                  <c:v>Male</c:v>
                </c:pt>
                <c:pt idx="4">
                  <c:v>Female</c:v>
                </c:pt>
              </c:strCache>
            </c:strRef>
          </c:cat>
          <c:val>
            <c:numRef>
              <c:f>Sheet1!$C$2:$C$6</c:f>
              <c:numCache>
                <c:formatCode>General</c:formatCode>
                <c:ptCount val="5"/>
                <c:pt idx="0">
                  <c:v>31.2</c:v>
                </c:pt>
                <c:pt idx="1">
                  <c:v>25.9</c:v>
                </c:pt>
                <c:pt idx="2">
                  <c:v>40.5</c:v>
                </c:pt>
                <c:pt idx="3">
                  <c:v>19.399999999999999</c:v>
                </c:pt>
                <c:pt idx="4">
                  <c:v>46.7</c:v>
                </c:pt>
              </c:numCache>
            </c:numRef>
          </c:val>
        </c:ser>
        <c:axId val="195025152"/>
        <c:axId val="195043328"/>
      </c:barChart>
      <c:catAx>
        <c:axId val="195025152"/>
        <c:scaling>
          <c:orientation val="minMax"/>
        </c:scaling>
        <c:axPos val="b"/>
        <c:numFmt formatCode="General" sourceLinked="0"/>
        <c:tickLblPos val="nextTo"/>
        <c:crossAx val="195043328"/>
        <c:crosses val="autoZero"/>
        <c:auto val="1"/>
        <c:lblAlgn val="ctr"/>
        <c:lblOffset val="100"/>
      </c:catAx>
      <c:valAx>
        <c:axId val="195043328"/>
        <c:scaling>
          <c:orientation val="minMax"/>
        </c:scaling>
        <c:axPos val="l"/>
        <c:majorGridlines/>
        <c:numFmt formatCode="General" sourceLinked="1"/>
        <c:tickLblPos val="nextTo"/>
        <c:crossAx val="195025152"/>
        <c:crosses val="autoZero"/>
        <c:crossBetween val="between"/>
      </c:valAx>
    </c:plotArea>
    <c:legend>
      <c:legendPos val="r"/>
      <c:layout>
        <c:manualLayout>
          <c:xMode val="edge"/>
          <c:yMode val="edge"/>
          <c:x val="0.85549196209401612"/>
          <c:y val="0.11375608894896112"/>
          <c:w val="0.12136691747944089"/>
          <c:h val="0.40264640868375312"/>
        </c:manualLayout>
      </c:layout>
      <c:spPr>
        <a:noFill/>
        <a:ln>
          <a:solidFill>
            <a:schemeClr val="accent1"/>
          </a:solidFill>
        </a:ln>
      </c:spPr>
    </c:legend>
    <c:plotVisOnly val="1"/>
    <c:dispBlanksAs val="gap"/>
  </c:chart>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7.1726440521309151E-2"/>
          <c:y val="4.4057512665600443E-2"/>
          <c:w val="0.89032798688094561"/>
          <c:h val="0.74979661769706685"/>
        </c:manualLayout>
      </c:layout>
      <c:barChart>
        <c:barDir val="col"/>
        <c:grouping val="clustered"/>
        <c:ser>
          <c:idx val="0"/>
          <c:order val="0"/>
          <c:tx>
            <c:strRef>
              <c:f>Sheet1!$B$1</c:f>
              <c:strCache>
                <c:ptCount val="1"/>
                <c:pt idx="0">
                  <c:v>Palestine</c:v>
                </c:pt>
              </c:strCache>
            </c:strRef>
          </c:tx>
          <c:dLbls>
            <c:spPr>
              <a:noFill/>
              <a:ln>
                <a:noFill/>
              </a:ln>
              <a:effectLst/>
            </c:spPr>
            <c:txPr>
              <a:bodyPr/>
              <a:lstStyle/>
              <a:p>
                <a:pPr>
                  <a:defRPr sz="800">
                    <a:latin typeface="Arial" pitchFamily="34" charset="0"/>
                    <a:cs typeface="Arial" pitchFamily="34" charset="0"/>
                  </a:defRPr>
                </a:pPr>
                <a:endParaRPr lang="en-US"/>
              </a:p>
            </c:txPr>
            <c:dLblPos val="outEnd"/>
            <c:showVal val="1"/>
            <c:extLst>
              <c:ext xmlns:c15="http://schemas.microsoft.com/office/drawing/2012/chart" uri="{CE6537A1-D6FC-4f65-9D91-7224C49458BB}">
                <c15:showLeaderLines val="0"/>
              </c:ext>
            </c:extLst>
          </c:dLbls>
          <c:cat>
            <c:strRef>
              <c:f>Sheet1!$A$2:$A$5</c:f>
              <c:strCache>
                <c:ptCount val="4"/>
                <c:pt idx="0">
                  <c:v>Acquaintance</c:v>
                </c:pt>
                <c:pt idx="1">
                  <c:v>Games and Entertainment</c:v>
                </c:pt>
                <c:pt idx="2">
                  <c:v>Making Phone Calls</c:v>
                </c:pt>
                <c:pt idx="3">
                  <c:v>Cultural discussions</c:v>
                </c:pt>
              </c:strCache>
            </c:strRef>
          </c:cat>
          <c:val>
            <c:numRef>
              <c:f>Sheet1!$B$2:$B$5</c:f>
              <c:numCache>
                <c:formatCode>General</c:formatCode>
                <c:ptCount val="4"/>
                <c:pt idx="0">
                  <c:v>80.3</c:v>
                </c:pt>
                <c:pt idx="1">
                  <c:v>89.8</c:v>
                </c:pt>
                <c:pt idx="2">
                  <c:v>45.9</c:v>
                </c:pt>
                <c:pt idx="3">
                  <c:v>26.1</c:v>
                </c:pt>
              </c:numCache>
            </c:numRef>
          </c:val>
        </c:ser>
        <c:ser>
          <c:idx val="1"/>
          <c:order val="1"/>
          <c:tx>
            <c:strRef>
              <c:f>Sheet1!$C$1</c:f>
              <c:strCache>
                <c:ptCount val="1"/>
                <c:pt idx="0">
                  <c:v>Gaza Strip</c:v>
                </c:pt>
              </c:strCache>
            </c:strRef>
          </c:tx>
          <c:spPr>
            <a:solidFill>
              <a:schemeClr val="accent4">
                <a:lumMod val="40000"/>
                <a:lumOff val="60000"/>
              </a:schemeClr>
            </a:solidFill>
          </c:spPr>
          <c:dLbls>
            <c:spPr>
              <a:noFill/>
              <a:ln>
                <a:noFill/>
              </a:ln>
              <a:effectLst/>
            </c:spPr>
            <c:txPr>
              <a:bodyPr/>
              <a:lstStyle/>
              <a:p>
                <a:pPr>
                  <a:defRPr sz="800">
                    <a:latin typeface="Arial" pitchFamily="34" charset="0"/>
                    <a:cs typeface="Arial" pitchFamily="34" charset="0"/>
                  </a:defRPr>
                </a:pPr>
                <a:endParaRPr lang="en-US"/>
              </a:p>
            </c:txPr>
            <c:dLblPos val="outEnd"/>
            <c:showVal val="1"/>
            <c:extLst>
              <c:ext xmlns:c15="http://schemas.microsoft.com/office/drawing/2012/chart" uri="{CE6537A1-D6FC-4f65-9D91-7224C49458BB}">
                <c15:showLeaderLines val="0"/>
              </c:ext>
            </c:extLst>
          </c:dLbls>
          <c:cat>
            <c:strRef>
              <c:f>Sheet1!$A$2:$A$5</c:f>
              <c:strCache>
                <c:ptCount val="4"/>
                <c:pt idx="0">
                  <c:v>Acquaintance</c:v>
                </c:pt>
                <c:pt idx="1">
                  <c:v>Games and Entertainment</c:v>
                </c:pt>
                <c:pt idx="2">
                  <c:v>Making Phone Calls</c:v>
                </c:pt>
                <c:pt idx="3">
                  <c:v>Cultural discussions</c:v>
                </c:pt>
              </c:strCache>
            </c:strRef>
          </c:cat>
          <c:val>
            <c:numRef>
              <c:f>Sheet1!$C$2:$C$5</c:f>
              <c:numCache>
                <c:formatCode>General</c:formatCode>
                <c:ptCount val="4"/>
                <c:pt idx="0">
                  <c:v>78.400000000000006</c:v>
                </c:pt>
                <c:pt idx="1">
                  <c:v>86.5</c:v>
                </c:pt>
                <c:pt idx="2">
                  <c:v>48.3</c:v>
                </c:pt>
                <c:pt idx="3">
                  <c:v>24.7</c:v>
                </c:pt>
              </c:numCache>
            </c:numRef>
          </c:val>
        </c:ser>
        <c:ser>
          <c:idx val="2"/>
          <c:order val="2"/>
          <c:tx>
            <c:strRef>
              <c:f>Sheet1!$D$1</c:f>
              <c:strCache>
                <c:ptCount val="1"/>
                <c:pt idx="0">
                  <c:v>West Bank</c:v>
                </c:pt>
              </c:strCache>
            </c:strRef>
          </c:tx>
          <c:dLbls>
            <c:spPr>
              <a:noFill/>
              <a:ln>
                <a:noFill/>
              </a:ln>
              <a:effectLst/>
            </c:spPr>
            <c:txPr>
              <a:bodyPr/>
              <a:lstStyle/>
              <a:p>
                <a:pPr>
                  <a:defRPr sz="800">
                    <a:latin typeface="Arial" pitchFamily="34" charset="0"/>
                    <a:cs typeface="Arial" pitchFamily="34" charset="0"/>
                  </a:defRPr>
                </a:pPr>
                <a:endParaRPr lang="en-US"/>
              </a:p>
            </c:txPr>
            <c:dLblPos val="outEnd"/>
            <c:showVal val="1"/>
            <c:extLst>
              <c:ext xmlns:c15="http://schemas.microsoft.com/office/drawing/2012/chart" uri="{CE6537A1-D6FC-4f65-9D91-7224C49458BB}">
                <c15:showLeaderLines val="0"/>
              </c:ext>
            </c:extLst>
          </c:dLbls>
          <c:cat>
            <c:strRef>
              <c:f>Sheet1!$A$2:$A$5</c:f>
              <c:strCache>
                <c:ptCount val="4"/>
                <c:pt idx="0">
                  <c:v>Acquaintance</c:v>
                </c:pt>
                <c:pt idx="1">
                  <c:v>Games and Entertainment</c:v>
                </c:pt>
                <c:pt idx="2">
                  <c:v>Making Phone Calls</c:v>
                </c:pt>
                <c:pt idx="3">
                  <c:v>Cultural discussions</c:v>
                </c:pt>
              </c:strCache>
            </c:strRef>
          </c:cat>
          <c:val>
            <c:numRef>
              <c:f>Sheet1!$D$2:$D$5</c:f>
              <c:numCache>
                <c:formatCode>General</c:formatCode>
                <c:ptCount val="4"/>
                <c:pt idx="0">
                  <c:v>81.2</c:v>
                </c:pt>
                <c:pt idx="1">
                  <c:v>91.2</c:v>
                </c:pt>
                <c:pt idx="2">
                  <c:v>44.8</c:v>
                </c:pt>
                <c:pt idx="3">
                  <c:v>26.7</c:v>
                </c:pt>
              </c:numCache>
            </c:numRef>
          </c:val>
        </c:ser>
        <c:axId val="195012480"/>
        <c:axId val="195014016"/>
      </c:barChart>
      <c:catAx>
        <c:axId val="195012480"/>
        <c:scaling>
          <c:orientation val="minMax"/>
        </c:scaling>
        <c:axPos val="b"/>
        <c:numFmt formatCode="General" sourceLinked="0"/>
        <c:tickLblPos val="nextTo"/>
        <c:crossAx val="195014016"/>
        <c:crosses val="autoZero"/>
        <c:auto val="1"/>
        <c:lblAlgn val="ctr"/>
        <c:lblOffset val="100"/>
      </c:catAx>
      <c:valAx>
        <c:axId val="195014016"/>
        <c:scaling>
          <c:orientation val="minMax"/>
        </c:scaling>
        <c:axPos val="l"/>
        <c:majorGridlines/>
        <c:numFmt formatCode="General" sourceLinked="1"/>
        <c:tickLblPos val="nextTo"/>
        <c:crossAx val="195012480"/>
        <c:crosses val="autoZero"/>
        <c:crossBetween val="between"/>
      </c:valAx>
    </c:plotArea>
    <c:legend>
      <c:legendPos val="r"/>
      <c:layout>
        <c:manualLayout>
          <c:xMode val="edge"/>
          <c:yMode val="edge"/>
          <c:x val="0.52290238344756856"/>
          <c:y val="5.6524352149445692E-2"/>
          <c:w val="0.42624128236987324"/>
          <c:h val="0.13056115770995014"/>
        </c:manualLayout>
      </c:layout>
      <c:spPr>
        <a:ln>
          <a:solidFill>
            <a:schemeClr val="accent1">
              <a:lumMod val="40000"/>
              <a:lumOff val="60000"/>
            </a:schemeClr>
          </a:solidFill>
        </a:ln>
      </c:spP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5.7996703080796644E-2"/>
          <c:y val="6.4362432956752008E-2"/>
          <c:w val="0.77053636170603146"/>
          <c:h val="0.74403377838639762"/>
        </c:manualLayout>
      </c:layout>
      <c:lineChart>
        <c:grouping val="standard"/>
        <c:ser>
          <c:idx val="0"/>
          <c:order val="0"/>
          <c:tx>
            <c:strRef>
              <c:f>Sheet1!$B$1</c:f>
              <c:strCache>
                <c:ptCount val="1"/>
                <c:pt idx="0">
                  <c:v>Male</c:v>
                </c:pt>
              </c:strCache>
            </c:strRef>
          </c:tx>
          <c:dLbls>
            <c:dLbl>
              <c:idx val="0"/>
              <c:layout>
                <c:manualLayout>
                  <c:x val="-5.5555555555555455E-2"/>
                  <c:y val="-0.11049723756906055"/>
                </c:manualLayout>
              </c:layout>
              <c:tx>
                <c:rich>
                  <a:bodyPr/>
                  <a:lstStyle/>
                  <a:p>
                    <a:r>
                      <a:rPr lang="en-US"/>
                      <a:t>39.5</a:t>
                    </a:r>
                  </a:p>
                </c:rich>
              </c:tx>
              <c:showVal val="1"/>
              <c:extLst>
                <c:ext xmlns:c15="http://schemas.microsoft.com/office/drawing/2012/chart" uri="{CE6537A1-D6FC-4f65-9D91-7224C49458BB}"/>
              </c:extLst>
            </c:dLbl>
            <c:dLbl>
              <c:idx val="1"/>
              <c:layout>
                <c:manualLayout>
                  <c:x val="-5.7870370370370371E-2"/>
                  <c:y val="-8.8397790055248698E-2"/>
                </c:manualLayout>
              </c:layout>
              <c:tx>
                <c:rich>
                  <a:bodyPr/>
                  <a:lstStyle/>
                  <a:p>
                    <a:r>
                      <a:rPr lang="en-US"/>
                      <a:t>42.2</a:t>
                    </a:r>
                  </a:p>
                </c:rich>
              </c:tx>
              <c:showVal val="1"/>
              <c:extLst>
                <c:ext xmlns:c15="http://schemas.microsoft.com/office/drawing/2012/chart" uri="{CE6537A1-D6FC-4f65-9D91-7224C49458BB}"/>
              </c:extLst>
            </c:dLbl>
            <c:dLbl>
              <c:idx val="2"/>
              <c:layout>
                <c:manualLayout>
                  <c:x val="-3.9818604136710539E-2"/>
                  <c:y val="-9.6153846153848768E-2"/>
                </c:manualLayout>
              </c:layout>
              <c:tx>
                <c:rich>
                  <a:bodyPr/>
                  <a:lstStyle/>
                  <a:p>
                    <a:r>
                      <a:rPr lang="en-US"/>
                      <a:t>44.1</a:t>
                    </a:r>
                  </a:p>
                </c:rich>
              </c:tx>
              <c:showVal val="1"/>
              <c:extLst>
                <c:ext xmlns:c15="http://schemas.microsoft.com/office/drawing/2012/chart" uri="{CE6537A1-D6FC-4f65-9D91-7224C49458BB}"/>
              </c:extLst>
            </c:dLbl>
            <c:dLbl>
              <c:idx val="3"/>
              <c:layout>
                <c:manualLayout>
                  <c:x val="-3.9818604136710539E-2"/>
                  <c:y val="-8.3333333333333343E-2"/>
                </c:manualLayout>
              </c:layout>
              <c:showVal val="1"/>
              <c:extLst>
                <c:ext xmlns:c15="http://schemas.microsoft.com/office/drawing/2012/chart" uri="{CE6537A1-D6FC-4f65-9D91-7224C49458BB}"/>
              </c:extLst>
            </c:dLbl>
            <c:dLbl>
              <c:idx val="4"/>
              <c:layout>
                <c:manualLayout>
                  <c:x val="-3.7606459462448845E-2"/>
                  <c:y val="-7.6923076923076927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Sheet1!$A$2:$A$6</c:f>
              <c:strCache>
                <c:ptCount val="5"/>
                <c:pt idx="0">
                  <c:v>2007/2008</c:v>
                </c:pt>
                <c:pt idx="1">
                  <c:v>2010/2011</c:v>
                </c:pt>
                <c:pt idx="2">
                  <c:v>2011/2012</c:v>
                </c:pt>
                <c:pt idx="3">
                  <c:v>2012/2013</c:v>
                </c:pt>
                <c:pt idx="4">
                  <c:v>2013/2014</c:v>
                </c:pt>
              </c:strCache>
            </c:strRef>
          </c:cat>
          <c:val>
            <c:numRef>
              <c:f>Sheet1!$B$2:$B$6</c:f>
              <c:numCache>
                <c:formatCode>0.0</c:formatCode>
                <c:ptCount val="5"/>
                <c:pt idx="0">
                  <c:v>39.5</c:v>
                </c:pt>
                <c:pt idx="1">
                  <c:v>42.2</c:v>
                </c:pt>
                <c:pt idx="2">
                  <c:v>44.1</c:v>
                </c:pt>
                <c:pt idx="3">
                  <c:v>47.6</c:v>
                </c:pt>
                <c:pt idx="4">
                  <c:v>50.8</c:v>
                </c:pt>
              </c:numCache>
            </c:numRef>
          </c:val>
        </c:ser>
        <c:ser>
          <c:idx val="1"/>
          <c:order val="1"/>
          <c:tx>
            <c:strRef>
              <c:f>Sheet1!$C$1</c:f>
              <c:strCache>
                <c:ptCount val="1"/>
                <c:pt idx="0">
                  <c:v>Female</c:v>
                </c:pt>
              </c:strCache>
            </c:strRef>
          </c:tx>
          <c:dLbls>
            <c:dLbl>
              <c:idx val="0"/>
              <c:layout>
                <c:manualLayout>
                  <c:x val="1.3888888888889785E-2"/>
                  <c:y val="5.1565377532228403E-2"/>
                </c:manualLayout>
              </c:layout>
              <c:tx>
                <c:rich>
                  <a:bodyPr/>
                  <a:lstStyle/>
                  <a:p>
                    <a:r>
                      <a:rPr lang="en-US"/>
                      <a:t>38.5</a:t>
                    </a:r>
                  </a:p>
                </c:rich>
              </c:tx>
              <c:showVal val="1"/>
              <c:extLst>
                <c:ext xmlns:c15="http://schemas.microsoft.com/office/drawing/2012/chart" uri="{CE6537A1-D6FC-4f65-9D91-7224C49458BB}"/>
              </c:extLst>
            </c:dLbl>
            <c:dLbl>
              <c:idx val="1"/>
              <c:layout>
                <c:manualLayout>
                  <c:x val="-2.3148148148148147E-3"/>
                  <c:y val="9.5764272559862834E-2"/>
                </c:manualLayout>
              </c:layout>
              <c:tx>
                <c:rich>
                  <a:bodyPr/>
                  <a:lstStyle/>
                  <a:p>
                    <a:r>
                      <a:rPr lang="en-US"/>
                      <a:t>41.4</a:t>
                    </a:r>
                  </a:p>
                </c:rich>
              </c:tx>
              <c:showVal val="1"/>
              <c:extLst>
                <c:ext xmlns:c15="http://schemas.microsoft.com/office/drawing/2012/chart" uri="{CE6537A1-D6FC-4f65-9D91-7224C49458BB}"/>
              </c:extLst>
            </c:dLbl>
            <c:dLbl>
              <c:idx val="2"/>
              <c:layout>
                <c:manualLayout>
                  <c:x val="-8.4875562720160622E-17"/>
                  <c:y val="8.1031307550644568E-2"/>
                </c:manualLayout>
              </c:layout>
              <c:tx>
                <c:rich>
                  <a:bodyPr/>
                  <a:lstStyle/>
                  <a:p>
                    <a:r>
                      <a:rPr lang="en-US"/>
                      <a:t>43.3</a:t>
                    </a:r>
                  </a:p>
                </c:rich>
              </c:tx>
              <c:showVal val="1"/>
              <c:extLst>
                <c:ext xmlns:c15="http://schemas.microsoft.com/office/drawing/2012/chart" uri="{CE6537A1-D6FC-4f65-9D91-7224C49458BB}"/>
              </c:extLst>
            </c:dLbl>
            <c:dLbl>
              <c:idx val="3"/>
              <c:layout>
                <c:manualLayout>
                  <c:x val="-1.3272868045570181E-2"/>
                  <c:y val="8.9743084998990516E-2"/>
                </c:manualLayout>
              </c:layout>
              <c:showVal val="1"/>
              <c:extLst>
                <c:ext xmlns:c15="http://schemas.microsoft.com/office/drawing/2012/chart" uri="{CE6537A1-D6FC-4f65-9D91-7224C49458BB}"/>
              </c:extLst>
            </c:dLbl>
            <c:dLbl>
              <c:idx val="4"/>
              <c:layout>
                <c:manualLayout>
                  <c:x val="-1.3272868045570181E-2"/>
                  <c:y val="9.6153846153848768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Sheet1!$A$2:$A$6</c:f>
              <c:strCache>
                <c:ptCount val="5"/>
                <c:pt idx="0">
                  <c:v>2007/2008</c:v>
                </c:pt>
                <c:pt idx="1">
                  <c:v>2010/2011</c:v>
                </c:pt>
                <c:pt idx="2">
                  <c:v>2011/2012</c:v>
                </c:pt>
                <c:pt idx="3">
                  <c:v>2012/2013</c:v>
                </c:pt>
                <c:pt idx="4">
                  <c:v>2013/2014</c:v>
                </c:pt>
              </c:strCache>
            </c:strRef>
          </c:cat>
          <c:val>
            <c:numRef>
              <c:f>Sheet1!$C$2:$C$6</c:f>
              <c:numCache>
                <c:formatCode>0.0</c:formatCode>
                <c:ptCount val="5"/>
                <c:pt idx="0">
                  <c:v>38.5</c:v>
                </c:pt>
                <c:pt idx="1">
                  <c:v>41.4</c:v>
                </c:pt>
                <c:pt idx="2">
                  <c:v>43.3</c:v>
                </c:pt>
                <c:pt idx="3">
                  <c:v>46.9</c:v>
                </c:pt>
                <c:pt idx="4">
                  <c:v>50.6</c:v>
                </c:pt>
              </c:numCache>
            </c:numRef>
          </c:val>
        </c:ser>
        <c:marker val="1"/>
        <c:axId val="204489472"/>
        <c:axId val="204491008"/>
      </c:lineChart>
      <c:catAx>
        <c:axId val="204489472"/>
        <c:scaling>
          <c:orientation val="minMax"/>
        </c:scaling>
        <c:axPos val="b"/>
        <c:numFmt formatCode="General" sourceLinked="0"/>
        <c:tickLblPos val="nextTo"/>
        <c:crossAx val="204491008"/>
        <c:crosses val="autoZero"/>
        <c:auto val="1"/>
        <c:lblAlgn val="ctr"/>
        <c:lblOffset val="100"/>
      </c:catAx>
      <c:valAx>
        <c:axId val="204491008"/>
        <c:scaling>
          <c:orientation val="minMax"/>
          <c:max val="55"/>
          <c:min val="37"/>
        </c:scaling>
        <c:axPos val="l"/>
        <c:majorGridlines/>
        <c:numFmt formatCode="0" sourceLinked="0"/>
        <c:tickLblPos val="nextTo"/>
        <c:crossAx val="204489472"/>
        <c:crosses val="autoZero"/>
        <c:crossBetween val="between"/>
        <c:majorUnit val="2"/>
        <c:minorUnit val="2"/>
      </c:valAx>
    </c:plotArea>
    <c:legend>
      <c:legendPos val="r"/>
      <c:spPr>
        <a:ln>
          <a:solidFill>
            <a:schemeClr val="accent1"/>
          </a:solidFill>
        </a:ln>
      </c:spPr>
    </c:legend>
    <c:plotVisOnly val="1"/>
    <c:dispBlanksAs val="gap"/>
  </c:chart>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en-US"/>
  <c:style val="3"/>
  <c:chart>
    <c:autoTitleDeleted val="1"/>
    <c:plotArea>
      <c:layout>
        <c:manualLayout>
          <c:layoutTarget val="inner"/>
          <c:xMode val="edge"/>
          <c:yMode val="edge"/>
          <c:x val="7.2476904373286924E-2"/>
          <c:y val="4.7337278106509124E-2"/>
          <c:w val="0.92066195835900411"/>
          <c:h val="0.78007874015748035"/>
        </c:manualLayout>
      </c:layout>
      <c:lineChart>
        <c:grouping val="standard"/>
        <c:ser>
          <c:idx val="1"/>
          <c:order val="0"/>
          <c:dLbls>
            <c:dLbl>
              <c:idx val="0"/>
              <c:layout>
                <c:manualLayout>
                  <c:x val="0"/>
                  <c:y val="0.13037037037037036"/>
                </c:manualLayout>
              </c:layout>
              <c:showVal val="1"/>
              <c:extLst>
                <c:ext xmlns:c15="http://schemas.microsoft.com/office/drawing/2012/chart" uri="{CE6537A1-D6FC-4f65-9D91-7224C49458BB}"/>
              </c:extLst>
            </c:dLbl>
            <c:dLbl>
              <c:idx val="1"/>
              <c:layout>
                <c:manualLayout>
                  <c:x val="0"/>
                  <c:y val="0.14814814814814894"/>
                </c:manualLayout>
              </c:layout>
              <c:showVal val="1"/>
              <c:extLst>
                <c:ext xmlns:c15="http://schemas.microsoft.com/office/drawing/2012/chart" uri="{CE6537A1-D6FC-4f65-9D91-7224C49458BB}"/>
              </c:extLst>
            </c:dLbl>
            <c:dLbl>
              <c:idx val="2"/>
              <c:layout>
                <c:manualLayout>
                  <c:x val="-2.2484541877461316E-3"/>
                  <c:y val="0.13629629629631068"/>
                </c:manualLayout>
              </c:layout>
              <c:showVal val="1"/>
              <c:extLst>
                <c:ext xmlns:c15="http://schemas.microsoft.com/office/drawing/2012/chart" uri="{CE6537A1-D6FC-4f65-9D91-7224C49458BB}"/>
              </c:extLst>
            </c:dLbl>
            <c:dLbl>
              <c:idx val="3"/>
              <c:layout>
                <c:manualLayout>
                  <c:x val="-6.7453625632379124E-3"/>
                  <c:y val="0.14222222222222244"/>
                </c:manualLayout>
              </c:layout>
              <c:showVal val="1"/>
              <c:extLst>
                <c:ext xmlns:c15="http://schemas.microsoft.com/office/drawing/2012/chart" uri="{CE6537A1-D6FC-4f65-9D91-7224C49458BB}"/>
              </c:extLst>
            </c:dLbl>
            <c:dLbl>
              <c:idx val="4"/>
              <c:layout>
                <c:manualLayout>
                  <c:x val="0"/>
                  <c:y val="0.11259259259259255"/>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Sheet1!$B$1:$F$1</c:f>
              <c:strCache>
                <c:ptCount val="5"/>
                <c:pt idx="0">
                  <c:v>poorest</c:v>
                </c:pt>
                <c:pt idx="1">
                  <c:v>second </c:v>
                </c:pt>
                <c:pt idx="2">
                  <c:v>middle</c:v>
                </c:pt>
                <c:pt idx="3">
                  <c:v>fourth </c:v>
                </c:pt>
                <c:pt idx="4">
                  <c:v>Richest</c:v>
                </c:pt>
              </c:strCache>
            </c:strRef>
          </c:cat>
          <c:val>
            <c:numRef>
              <c:f>Sheet1!$B$2:$F$2</c:f>
              <c:numCache>
                <c:formatCode>####.0</c:formatCode>
                <c:ptCount val="5"/>
                <c:pt idx="0">
                  <c:v>63.136858555495444</c:v>
                </c:pt>
                <c:pt idx="1">
                  <c:v>68.939029852393929</c:v>
                </c:pt>
                <c:pt idx="2">
                  <c:v>73.577427171277677</c:v>
                </c:pt>
                <c:pt idx="3">
                  <c:v>77.736329725866227</c:v>
                </c:pt>
                <c:pt idx="4">
                  <c:v>81.184117241424588</c:v>
                </c:pt>
              </c:numCache>
            </c:numRef>
          </c:val>
        </c:ser>
        <c:marker val="1"/>
        <c:axId val="194714624"/>
        <c:axId val="194769664"/>
      </c:lineChart>
      <c:catAx>
        <c:axId val="194714624"/>
        <c:scaling>
          <c:orientation val="minMax"/>
        </c:scaling>
        <c:axPos val="b"/>
        <c:numFmt formatCode="General" sourceLinked="1"/>
        <c:tickLblPos val="nextTo"/>
        <c:txPr>
          <a:bodyPr rot="0" vert="horz"/>
          <a:lstStyle/>
          <a:p>
            <a:pPr>
              <a:defRPr/>
            </a:pPr>
            <a:endParaRPr lang="en-US"/>
          </a:p>
        </c:txPr>
        <c:crossAx val="194769664"/>
        <c:crosses val="autoZero"/>
        <c:auto val="1"/>
        <c:lblAlgn val="ctr"/>
        <c:lblOffset val="100"/>
        <c:tickLblSkip val="1"/>
        <c:tickMarkSkip val="1"/>
      </c:catAx>
      <c:valAx>
        <c:axId val="194769664"/>
        <c:scaling>
          <c:orientation val="minMax"/>
          <c:max val="100"/>
          <c:min val="0"/>
        </c:scaling>
        <c:axPos val="l"/>
        <c:majorGridlines/>
        <c:numFmt formatCode="#,##0" sourceLinked="0"/>
        <c:tickLblPos val="nextTo"/>
        <c:txPr>
          <a:bodyPr rot="0" vert="horz"/>
          <a:lstStyle/>
          <a:p>
            <a:pPr>
              <a:defRPr/>
            </a:pPr>
            <a:endParaRPr lang="en-US"/>
          </a:p>
        </c:txPr>
        <c:crossAx val="194714624"/>
        <c:crosses val="autoZero"/>
        <c:crossBetween val="between"/>
      </c:valAx>
    </c:plotArea>
    <c:plotVisOnly val="1"/>
    <c:dispBlanksAs val="gap"/>
  </c:chart>
  <c:externalData r:id="rId1"/>
  <c:userShapes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7655746399575686E-2"/>
          <c:y val="4.7337278106509124E-2"/>
          <c:w val="0.93548307012830545"/>
          <c:h val="0.67751479289940864"/>
        </c:manualLayout>
      </c:layout>
      <c:barChart>
        <c:barDir val="col"/>
        <c:grouping val="clustered"/>
        <c:ser>
          <c:idx val="1"/>
          <c:order val="0"/>
          <c:tx>
            <c:strRef>
              <c:f>Sheet1!$A$3</c:f>
              <c:strCache>
                <c:ptCount val="1"/>
                <c:pt idx="0">
                  <c:v>2014</c:v>
                </c:pt>
              </c:strCache>
            </c:strRef>
          </c:tx>
          <c:spPr>
            <a:ln w="12699">
              <a:solidFill>
                <a:srgbClr val="000000"/>
              </a:solidFill>
              <a:prstDash val="solid"/>
            </a:ln>
          </c:spPr>
          <c:dLbls>
            <c:dLbl>
              <c:idx val="0"/>
              <c:tx>
                <c:rich>
                  <a:bodyPr/>
                  <a:lstStyle/>
                  <a:p>
                    <a:r>
                      <a:rPr lang="en-US"/>
                      <a:t>76.0</a:t>
                    </a:r>
                  </a:p>
                </c:rich>
              </c:tx>
              <c:showVal val="1"/>
              <c:extLst>
                <c:ext xmlns:c15="http://schemas.microsoft.com/office/drawing/2012/chart" uri="{CE6537A1-D6FC-4f65-9D91-7224C49458BB}"/>
              </c:extLst>
            </c:dLbl>
            <c:dLbl>
              <c:idx val="4"/>
              <c:tx>
                <c:rich>
                  <a:bodyPr/>
                  <a:lstStyle/>
                  <a:p>
                    <a:r>
                      <a:rPr lang="en-US"/>
                      <a:t>72.3</a:t>
                    </a:r>
                  </a:p>
                </c:rich>
              </c:tx>
              <c:showVal val="1"/>
              <c:extLst>
                <c:ext xmlns:c15="http://schemas.microsoft.com/office/drawing/2012/chart" uri="{CE6537A1-D6FC-4f65-9D91-7224C49458BB}"/>
              </c:extLst>
            </c:dLbl>
            <c:spPr>
              <a:noFill/>
              <a:ln>
                <a:noFill/>
              </a:ln>
              <a:effectLst/>
            </c:spPr>
            <c:txPr>
              <a:bodyPr/>
              <a:lstStyle/>
              <a:p>
                <a:pPr>
                  <a:defRPr sz="900" b="0"/>
                </a:pPr>
                <a:endParaRPr lang="en-US"/>
              </a:p>
            </c:txPr>
            <c:showVal val="1"/>
            <c:extLst>
              <c:ext xmlns:c15="http://schemas.microsoft.com/office/drawing/2012/chart" uri="{CE6537A1-D6FC-4f65-9D91-7224C49458BB}">
                <c15:showLeaderLines val="0"/>
              </c:ext>
            </c:extLst>
          </c:dLbls>
          <c:cat>
            <c:multiLvlStrRef>
              <c:f>Sheet1!$B$1:$H$2</c:f>
              <c:multiLvlStrCache>
                <c:ptCount val="7"/>
                <c:lvl>
                  <c:pt idx="0">
                    <c:v>West Bank</c:v>
                  </c:pt>
                  <c:pt idx="1">
                    <c:v>Gaza Strip</c:v>
                  </c:pt>
                  <c:pt idx="2">
                    <c:v>Male</c:v>
                  </c:pt>
                  <c:pt idx="3">
                    <c:v>Female</c:v>
                  </c:pt>
                  <c:pt idx="4">
                    <c:v>Urban</c:v>
                  </c:pt>
                  <c:pt idx="5">
                    <c:v>Rural</c:v>
                  </c:pt>
                  <c:pt idx="6">
                    <c:v>Camp</c:v>
                  </c:pt>
                </c:lvl>
                <c:lvl>
                  <c:pt idx="0">
                    <c:v>Region</c:v>
                  </c:pt>
                  <c:pt idx="2">
                    <c:v>Sex</c:v>
                  </c:pt>
                  <c:pt idx="4">
                    <c:v>Type of Locality</c:v>
                  </c:pt>
                </c:lvl>
              </c:multiLvlStrCache>
            </c:multiLvlStrRef>
          </c:cat>
          <c:val>
            <c:numRef>
              <c:f>Sheet1!$B$3:$H$3</c:f>
              <c:numCache>
                <c:formatCode>####.0</c:formatCode>
                <c:ptCount val="7"/>
                <c:pt idx="0">
                  <c:v>76</c:v>
                </c:pt>
                <c:pt idx="1">
                  <c:v>67.454278542619079</c:v>
                </c:pt>
                <c:pt idx="2">
                  <c:v>67.63988413100715</c:v>
                </c:pt>
                <c:pt idx="3">
                  <c:v>76.698226291007927</c:v>
                </c:pt>
                <c:pt idx="4">
                  <c:v>72.34845410571171</c:v>
                </c:pt>
                <c:pt idx="5">
                  <c:v>75.592060219831168</c:v>
                </c:pt>
                <c:pt idx="6">
                  <c:v>63.462438024819413</c:v>
                </c:pt>
              </c:numCache>
            </c:numRef>
          </c:val>
        </c:ser>
        <c:axId val="194764800"/>
        <c:axId val="194766336"/>
      </c:barChart>
      <c:catAx>
        <c:axId val="194764800"/>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en-US"/>
          </a:p>
        </c:txPr>
        <c:crossAx val="194766336"/>
        <c:crosses val="autoZero"/>
        <c:auto val="1"/>
        <c:lblAlgn val="ctr"/>
        <c:lblOffset val="100"/>
        <c:tickLblSkip val="1"/>
        <c:tickMarkSkip val="1"/>
      </c:catAx>
      <c:valAx>
        <c:axId val="194766336"/>
        <c:scaling>
          <c:orientation val="minMax"/>
        </c:scaling>
        <c:axPos val="l"/>
        <c:majorGridlines/>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94764800"/>
        <c:crosses val="autoZero"/>
        <c:crossBetween val="between"/>
      </c:valAx>
      <c:spPr>
        <a:ln w="3175">
          <a:solidFill>
            <a:srgbClr val="C0C0C0"/>
          </a:solidFill>
          <a:prstDash val="solid"/>
        </a:ln>
      </c:spPr>
    </c:plotArea>
    <c:plotVisOnly val="1"/>
    <c:dispBlanksAs val="gap"/>
  </c:chart>
  <c:spPr>
    <a:noFill/>
    <a:ln w="0">
      <a:solidFill>
        <a:srgbClr val="000000"/>
      </a:solid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userShapes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3170349622141719E-2"/>
          <c:y val="4.7337278106509124E-2"/>
          <c:w val="0.93996847776099968"/>
          <c:h val="0.67751479289940864"/>
        </c:manualLayout>
      </c:layout>
      <c:barChart>
        <c:barDir val="col"/>
        <c:grouping val="clustered"/>
        <c:ser>
          <c:idx val="1"/>
          <c:order val="0"/>
          <c:tx>
            <c:strRef>
              <c:f>Sheet1!$A$3</c:f>
              <c:strCache>
                <c:ptCount val="1"/>
                <c:pt idx="0">
                  <c:v>2014</c:v>
                </c:pt>
              </c:strCache>
            </c:strRef>
          </c:tx>
          <c:spPr>
            <a:ln w="12699">
              <a:solidFill>
                <a:srgbClr val="000000"/>
              </a:solidFill>
              <a:prstDash val="solid"/>
            </a:ln>
          </c:spPr>
          <c:dLbls>
            <c:dLbl>
              <c:idx val="0"/>
              <c:tx>
                <c:rich>
                  <a:bodyPr/>
                  <a:lstStyle/>
                  <a:p>
                    <a:r>
                      <a:rPr lang="en-US"/>
                      <a:t>65.7</a:t>
                    </a:r>
                  </a:p>
                </c:rich>
              </c:tx>
              <c:showVal val="1"/>
              <c:extLst>
                <c:ext xmlns:c15="http://schemas.microsoft.com/office/drawing/2012/chart" uri="{CE6537A1-D6FC-4f65-9D91-7224C49458BB}"/>
              </c:extLst>
            </c:dLbl>
            <c:dLbl>
              <c:idx val="3"/>
              <c:tx>
                <c:rich>
                  <a:bodyPr/>
                  <a:lstStyle/>
                  <a:p>
                    <a:r>
                      <a:rPr lang="en-US"/>
                      <a:t>66.8</a:t>
                    </a:r>
                  </a:p>
                </c:rich>
              </c:tx>
              <c:showVal val="1"/>
              <c:extLst>
                <c:ext xmlns:c15="http://schemas.microsoft.com/office/drawing/2012/chart" uri="{CE6537A1-D6FC-4f65-9D91-7224C49458BB}"/>
              </c:extLst>
            </c:dLbl>
            <c:spPr>
              <a:noFill/>
              <a:ln>
                <a:noFill/>
              </a:ln>
              <a:effectLst/>
            </c:spPr>
            <c:txPr>
              <a:bodyPr/>
              <a:lstStyle/>
              <a:p>
                <a:pPr>
                  <a:defRPr sz="900" b="0"/>
                </a:pPr>
                <a:endParaRPr lang="en-US"/>
              </a:p>
            </c:txPr>
            <c:showVal val="1"/>
            <c:extLst>
              <c:ext xmlns:c15="http://schemas.microsoft.com/office/drawing/2012/chart" uri="{CE6537A1-D6FC-4f65-9D91-7224C49458BB}">
                <c15:showLeaderLines val="0"/>
              </c:ext>
            </c:extLst>
          </c:dLbls>
          <c:cat>
            <c:multiLvlStrRef>
              <c:f>Sheet1!$B$1:$E$2</c:f>
              <c:multiLvlStrCache>
                <c:ptCount val="4"/>
                <c:lvl>
                  <c:pt idx="0">
                    <c:v>36-47</c:v>
                  </c:pt>
                  <c:pt idx="1">
                    <c:v>48-59</c:v>
                  </c:pt>
                  <c:pt idx="2">
                    <c:v>enrolled in preschool education</c:v>
                  </c:pt>
                  <c:pt idx="3">
                    <c:v>not enrolled in preschool education</c:v>
                  </c:pt>
                </c:lvl>
                <c:lvl>
                  <c:pt idx="0">
                    <c:v>age/ Month</c:v>
                  </c:pt>
                  <c:pt idx="2">
                    <c:v>Enrollment in preschool education</c:v>
                  </c:pt>
                </c:lvl>
              </c:multiLvlStrCache>
            </c:multiLvlStrRef>
          </c:cat>
          <c:val>
            <c:numRef>
              <c:f>Sheet1!$B$3:$E$3</c:f>
              <c:numCache>
                <c:formatCode>####.0</c:formatCode>
                <c:ptCount val="4"/>
                <c:pt idx="0">
                  <c:v>65.7</c:v>
                </c:pt>
                <c:pt idx="1">
                  <c:v>78.695576003183774</c:v>
                </c:pt>
                <c:pt idx="2">
                  <c:v>86.502060361436548</c:v>
                </c:pt>
                <c:pt idx="3">
                  <c:v>66.8</c:v>
                </c:pt>
              </c:numCache>
            </c:numRef>
          </c:val>
        </c:ser>
        <c:axId val="207086336"/>
        <c:axId val="207087872"/>
      </c:barChart>
      <c:catAx>
        <c:axId val="207086336"/>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en-US"/>
          </a:p>
        </c:txPr>
        <c:crossAx val="207087872"/>
        <c:crosses val="autoZero"/>
        <c:auto val="1"/>
        <c:lblAlgn val="ctr"/>
        <c:lblOffset val="100"/>
        <c:tickLblSkip val="1"/>
        <c:tickMarkSkip val="1"/>
      </c:catAx>
      <c:valAx>
        <c:axId val="207087872"/>
        <c:scaling>
          <c:orientation val="minMax"/>
          <c:max val="90"/>
          <c:min val="0"/>
        </c:scaling>
        <c:axPos val="l"/>
        <c:majorGridlines/>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207086336"/>
        <c:crosses val="autoZero"/>
        <c:crossBetween val="between"/>
        <c:majorUnit val="10"/>
      </c:valAx>
      <c:spPr>
        <a:ln w="3175">
          <a:solidFill>
            <a:srgbClr val="C0C0C0"/>
          </a:solidFill>
          <a:prstDash val="solid"/>
        </a:ln>
      </c:spPr>
    </c:plotArea>
    <c:plotVisOnly val="1"/>
    <c:dispBlanksAs val="gap"/>
  </c:chart>
  <c:spPr>
    <a:noFill/>
    <a:ln w="9525">
      <a:solidFill>
        <a:srgbClr val="000000"/>
      </a:solid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userShapes r:id="rId2"/>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5450173611111112E-2"/>
          <c:y val="4.7337278106509124E-2"/>
          <c:w val="0.93768854166666649"/>
          <c:h val="0.67751479289940864"/>
        </c:manualLayout>
      </c:layout>
      <c:barChart>
        <c:barDir val="col"/>
        <c:grouping val="clustered"/>
        <c:ser>
          <c:idx val="1"/>
          <c:order val="0"/>
          <c:tx>
            <c:strRef>
              <c:f>Sheet1!$A$3:$F$3</c:f>
              <c:strCache>
                <c:ptCount val="1"/>
                <c:pt idx="0">
                  <c:v>2014 67.6 70.7 77.8 63.1 81.2</c:v>
                </c:pt>
              </c:strCache>
            </c:strRef>
          </c:tx>
          <c:spPr>
            <a:solidFill>
              <a:schemeClr val="tx1">
                <a:lumMod val="75000"/>
                <a:lumOff val="25000"/>
              </a:schemeClr>
            </a:solidFill>
            <a:ln w="12699">
              <a:solidFill>
                <a:srgbClr val="000000"/>
              </a:solidFill>
              <a:prstDash val="solid"/>
            </a:ln>
          </c:spPr>
          <c:dLbls>
            <c:dLbl>
              <c:idx val="0"/>
              <c:tx>
                <c:rich>
                  <a:bodyPr/>
                  <a:lstStyle/>
                  <a:p>
                    <a:r>
                      <a:rPr lang="ar-SA"/>
                      <a:t>67.6</a:t>
                    </a:r>
                  </a:p>
                </c:rich>
              </c:tx>
              <c:showVal val="1"/>
              <c:extLst>
                <c:ext xmlns:c15="http://schemas.microsoft.com/office/drawing/2012/chart" uri="{CE6537A1-D6FC-4f65-9D91-7224C49458BB}"/>
              </c:extLst>
            </c:dLbl>
            <c:spPr>
              <a:noFill/>
              <a:ln>
                <a:noFill/>
              </a:ln>
              <a:effectLst/>
            </c:spPr>
            <c:txPr>
              <a:bodyPr/>
              <a:lstStyle/>
              <a:p>
                <a:pPr>
                  <a:defRPr sz="900" b="0"/>
                </a:pPr>
                <a:endParaRPr lang="en-US"/>
              </a:p>
            </c:txPr>
            <c:showVal val="1"/>
            <c:extLst>
              <c:ext xmlns:c15="http://schemas.microsoft.com/office/drawing/2012/chart" uri="{CE6537A1-D6FC-4f65-9D91-7224C49458BB}">
                <c15:showLeaderLines val="0"/>
              </c:ext>
            </c:extLst>
          </c:dLbls>
          <c:cat>
            <c:multiLvlStrRef>
              <c:f>Sheet1!$B$1:$F$2</c:f>
              <c:multiLvlStrCache>
                <c:ptCount val="5"/>
                <c:lvl>
                  <c:pt idx="0">
                    <c:v>Basic</c:v>
                  </c:pt>
                  <c:pt idx="1">
                    <c:v>Secondary</c:v>
                  </c:pt>
                  <c:pt idx="2">
                    <c:v>Higher</c:v>
                  </c:pt>
                  <c:pt idx="3">
                    <c:v>Poorest</c:v>
                  </c:pt>
                  <c:pt idx="4">
                    <c:v>Richest</c:v>
                  </c:pt>
                </c:lvl>
                <c:lvl>
                  <c:pt idx="0">
                    <c:v>Mother's Education</c:v>
                  </c:pt>
                  <c:pt idx="3">
                    <c:v>Wealth Index</c:v>
                  </c:pt>
                </c:lvl>
              </c:multiLvlStrCache>
            </c:multiLvlStrRef>
          </c:cat>
          <c:val>
            <c:numRef>
              <c:f>Sheet1!$B$3:$F$3</c:f>
              <c:numCache>
                <c:formatCode>0.0</c:formatCode>
                <c:ptCount val="5"/>
                <c:pt idx="0" formatCode="General">
                  <c:v>67.599999999999994</c:v>
                </c:pt>
                <c:pt idx="1">
                  <c:v>70.7</c:v>
                </c:pt>
                <c:pt idx="2">
                  <c:v>77.8</c:v>
                </c:pt>
                <c:pt idx="3">
                  <c:v>63.1</c:v>
                </c:pt>
                <c:pt idx="4" formatCode="General">
                  <c:v>81.2</c:v>
                </c:pt>
              </c:numCache>
            </c:numRef>
          </c:val>
        </c:ser>
        <c:axId val="195098112"/>
        <c:axId val="195099648"/>
      </c:barChart>
      <c:catAx>
        <c:axId val="195098112"/>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en-US"/>
          </a:p>
        </c:txPr>
        <c:crossAx val="195099648"/>
        <c:crosses val="autoZero"/>
        <c:auto val="1"/>
        <c:lblAlgn val="ctr"/>
        <c:lblOffset val="100"/>
        <c:tickLblSkip val="1"/>
        <c:tickMarkSkip val="1"/>
      </c:catAx>
      <c:valAx>
        <c:axId val="195099648"/>
        <c:scaling>
          <c:orientation val="minMax"/>
          <c:max val="90"/>
          <c:min val="0"/>
        </c:scaling>
        <c:axPos val="l"/>
        <c:majorGridlines/>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95098112"/>
        <c:crosses val="autoZero"/>
        <c:crossBetween val="between"/>
      </c:valAx>
      <c:spPr>
        <a:ln w="3175">
          <a:solidFill>
            <a:srgbClr val="C0C0C0"/>
          </a:solidFill>
          <a:prstDash val="solid"/>
        </a:ln>
      </c:spPr>
    </c:plotArea>
    <c:plotVisOnly val="1"/>
    <c:dispBlanksAs val="gap"/>
  </c:chart>
  <c:spPr>
    <a:noFill/>
    <a:ln w="9525">
      <a:solidFill>
        <a:srgbClr val="000000"/>
      </a:solid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plotArea>
      <c:layout/>
      <c:lineChart>
        <c:grouping val="standard"/>
        <c:ser>
          <c:idx val="0"/>
          <c:order val="0"/>
          <c:tx>
            <c:strRef>
              <c:f>Sheet1!$B$1</c:f>
              <c:strCache>
                <c:ptCount val="1"/>
                <c:pt idx="0">
                  <c:v>West Bank</c:v>
                </c:pt>
              </c:strCache>
            </c:strRef>
          </c:tx>
          <c:dLbls>
            <c:dLbl>
              <c:idx val="0"/>
              <c:layout>
                <c:manualLayout>
                  <c:x val="-4.8611111111111112E-2"/>
                  <c:y val="-7.1428571428571425E-2"/>
                </c:manualLayout>
              </c:layout>
              <c:tx>
                <c:rich>
                  <a:bodyPr/>
                  <a:lstStyle/>
                  <a:p>
                    <a:r>
                      <a:rPr lang="en-US">
                        <a:latin typeface="+mn-lt"/>
                      </a:rPr>
                      <a:t>44.0</a:t>
                    </a:r>
                  </a:p>
                </c:rich>
              </c:tx>
              <c:showVal val="1"/>
              <c:extLst>
                <c:ext xmlns:c15="http://schemas.microsoft.com/office/drawing/2012/chart" uri="{CE6537A1-D6FC-4f65-9D91-7224C49458BB}"/>
              </c:extLst>
            </c:dLbl>
            <c:dLbl>
              <c:idx val="1"/>
              <c:layout>
                <c:manualLayout>
                  <c:x val="-4.8611111111111112E-2"/>
                  <c:y val="-5.1587301587301577E-2"/>
                </c:manualLayout>
              </c:layout>
              <c:tx>
                <c:rich>
                  <a:bodyPr/>
                  <a:lstStyle/>
                  <a:p>
                    <a:r>
                      <a:rPr lang="en-US"/>
                      <a:t>45.3</a:t>
                    </a:r>
                  </a:p>
                </c:rich>
              </c:tx>
              <c:showVal val="1"/>
              <c:extLst>
                <c:ext xmlns:c15="http://schemas.microsoft.com/office/drawing/2012/chart" uri="{CE6537A1-D6FC-4f65-9D91-7224C49458BB}"/>
              </c:extLst>
            </c:dLbl>
            <c:dLbl>
              <c:idx val="2"/>
              <c:layout>
                <c:manualLayout>
                  <c:x val="-3.4722222222222224E-2"/>
                  <c:y val="-0.10313075506445672"/>
                </c:manualLayout>
              </c:layout>
              <c:tx>
                <c:rich>
                  <a:bodyPr/>
                  <a:lstStyle/>
                  <a:p>
                    <a:r>
                      <a:rPr lang="en-US"/>
                      <a:t>46.4</a:t>
                    </a:r>
                  </a:p>
                </c:rich>
              </c:tx>
              <c:showVal val="1"/>
              <c:extLst>
                <c:ext xmlns:c15="http://schemas.microsoft.com/office/drawing/2012/chart" uri="{CE6537A1-D6FC-4f65-9D91-7224C49458BB}"/>
              </c:extLst>
            </c:dLbl>
            <c:dLbl>
              <c:idx val="3"/>
              <c:layout>
                <c:manualLayout>
                  <c:x val="-3.2407407407408682E-2"/>
                  <c:y val="-0.11049723756906055"/>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Sheet1!$A$2:$A$6</c:f>
              <c:strCache>
                <c:ptCount val="5"/>
                <c:pt idx="0">
                  <c:v>2007/2008</c:v>
                </c:pt>
                <c:pt idx="1">
                  <c:v>2010/2011</c:v>
                </c:pt>
                <c:pt idx="2">
                  <c:v>2011/2012</c:v>
                </c:pt>
                <c:pt idx="3">
                  <c:v>2012/2013</c:v>
                </c:pt>
                <c:pt idx="4">
                  <c:v>2013/2014</c:v>
                </c:pt>
              </c:strCache>
            </c:strRef>
          </c:cat>
          <c:val>
            <c:numRef>
              <c:f>Sheet1!$B$2:$B$6</c:f>
              <c:numCache>
                <c:formatCode>General</c:formatCode>
                <c:ptCount val="5"/>
                <c:pt idx="0">
                  <c:v>44</c:v>
                </c:pt>
                <c:pt idx="1">
                  <c:v>45.3</c:v>
                </c:pt>
                <c:pt idx="2">
                  <c:v>46.4</c:v>
                </c:pt>
                <c:pt idx="3">
                  <c:v>51.2</c:v>
                </c:pt>
                <c:pt idx="4">
                  <c:v>54.4</c:v>
                </c:pt>
              </c:numCache>
            </c:numRef>
          </c:val>
        </c:ser>
        <c:ser>
          <c:idx val="1"/>
          <c:order val="1"/>
          <c:tx>
            <c:strRef>
              <c:f>Sheet1!$C$1</c:f>
              <c:strCache>
                <c:ptCount val="1"/>
                <c:pt idx="0">
                  <c:v>Gaza Strip</c:v>
                </c:pt>
              </c:strCache>
            </c:strRef>
          </c:tx>
          <c:dLbls>
            <c:dLbl>
              <c:idx val="0"/>
              <c:layout>
                <c:manualLayout>
                  <c:x val="-2.0833333333333412E-2"/>
                  <c:y val="7.7037037037042372E-2"/>
                </c:manualLayout>
              </c:layout>
              <c:tx>
                <c:rich>
                  <a:bodyPr/>
                  <a:lstStyle/>
                  <a:p>
                    <a:r>
                      <a:rPr lang="en-US"/>
                      <a:t>31.6</a:t>
                    </a:r>
                  </a:p>
                </c:rich>
              </c:tx>
              <c:showVal val="1"/>
              <c:extLst>
                <c:ext xmlns:c15="http://schemas.microsoft.com/office/drawing/2012/chart" uri="{CE6537A1-D6FC-4f65-9D91-7224C49458BB}"/>
              </c:extLst>
            </c:dLbl>
            <c:dLbl>
              <c:idx val="1"/>
              <c:layout>
                <c:manualLayout>
                  <c:x val="-6.9444444444447858E-3"/>
                  <c:y val="4.7619047619047623E-2"/>
                </c:manualLayout>
              </c:layout>
              <c:tx>
                <c:rich>
                  <a:bodyPr/>
                  <a:lstStyle/>
                  <a:p>
                    <a:r>
                      <a:rPr lang="en-US"/>
                      <a:t>36.9</a:t>
                    </a:r>
                  </a:p>
                </c:rich>
              </c:tx>
              <c:showVal val="1"/>
              <c:extLst>
                <c:ext xmlns:c15="http://schemas.microsoft.com/office/drawing/2012/chart" uri="{CE6537A1-D6FC-4f65-9D91-7224C49458BB}"/>
              </c:extLst>
            </c:dLbl>
            <c:dLbl>
              <c:idx val="2"/>
              <c:layout>
                <c:manualLayout>
                  <c:x val="0"/>
                  <c:y val="9.5764272559857741E-2"/>
                </c:manualLayout>
              </c:layout>
              <c:tx>
                <c:rich>
                  <a:bodyPr/>
                  <a:lstStyle/>
                  <a:p>
                    <a:r>
                      <a:rPr lang="en-US"/>
                      <a:t>40.1</a:t>
                    </a:r>
                  </a:p>
                </c:rich>
              </c:tx>
              <c:showVal val="1"/>
              <c:extLst>
                <c:ext xmlns:c15="http://schemas.microsoft.com/office/drawing/2012/chart" uri="{CE6537A1-D6FC-4f65-9D91-7224C49458BB}"/>
              </c:extLst>
            </c:dLbl>
            <c:dLbl>
              <c:idx val="3"/>
              <c:layout>
                <c:manualLayout>
                  <c:x val="-2.7777777777779605E-2"/>
                  <c:y val="0.11049723756906084"/>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Sheet1!$A$2:$A$6</c:f>
              <c:strCache>
                <c:ptCount val="5"/>
                <c:pt idx="0">
                  <c:v>2007/2008</c:v>
                </c:pt>
                <c:pt idx="1">
                  <c:v>2010/2011</c:v>
                </c:pt>
                <c:pt idx="2">
                  <c:v>2011/2012</c:v>
                </c:pt>
                <c:pt idx="3">
                  <c:v>2012/2013</c:v>
                </c:pt>
                <c:pt idx="4">
                  <c:v>2013/2014</c:v>
                </c:pt>
              </c:strCache>
            </c:strRef>
          </c:cat>
          <c:val>
            <c:numRef>
              <c:f>Sheet1!$C$2:$C$6</c:f>
              <c:numCache>
                <c:formatCode>General</c:formatCode>
                <c:ptCount val="5"/>
                <c:pt idx="0">
                  <c:v>31.6</c:v>
                </c:pt>
                <c:pt idx="1">
                  <c:v>36.9</c:v>
                </c:pt>
                <c:pt idx="2">
                  <c:v>40.1</c:v>
                </c:pt>
                <c:pt idx="3">
                  <c:v>41.8</c:v>
                </c:pt>
                <c:pt idx="4">
                  <c:v>45.5</c:v>
                </c:pt>
              </c:numCache>
            </c:numRef>
          </c:val>
        </c:ser>
        <c:marker val="1"/>
        <c:axId val="203287552"/>
        <c:axId val="204526336"/>
      </c:lineChart>
      <c:catAx>
        <c:axId val="203287552"/>
        <c:scaling>
          <c:orientation val="minMax"/>
        </c:scaling>
        <c:axPos val="b"/>
        <c:numFmt formatCode="General" sourceLinked="0"/>
        <c:tickLblPos val="nextTo"/>
        <c:crossAx val="204526336"/>
        <c:crosses val="autoZero"/>
        <c:auto val="1"/>
        <c:lblAlgn val="ctr"/>
        <c:lblOffset val="100"/>
      </c:catAx>
      <c:valAx>
        <c:axId val="204526336"/>
        <c:scaling>
          <c:orientation val="minMax"/>
          <c:max val="60"/>
          <c:min val="25"/>
        </c:scaling>
        <c:axPos val="l"/>
        <c:majorGridlines/>
        <c:numFmt formatCode="General" sourceLinked="1"/>
        <c:tickLblPos val="nextTo"/>
        <c:crossAx val="203287552"/>
        <c:crosses val="autoZero"/>
        <c:crossBetween val="between"/>
        <c:majorUnit val="5"/>
        <c:minorUnit val="1"/>
      </c:valAx>
    </c:plotArea>
    <c:legend>
      <c:legendPos val="r"/>
      <c:layout>
        <c:manualLayout>
          <c:xMode val="edge"/>
          <c:yMode val="edge"/>
          <c:x val="0.80460585412030772"/>
          <c:y val="0.27797477288571015"/>
          <c:w val="0.17917981762984417"/>
          <c:h val="0.33982177599256153"/>
        </c:manualLayout>
      </c:layout>
      <c:spPr>
        <a:ln>
          <a:solidFill>
            <a:srgbClr val="4F81BD"/>
          </a:solidFill>
        </a:ln>
      </c:spPr>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4123637771085132E-2"/>
          <c:y val="0.15618605614272948"/>
          <c:w val="0.89339300329394311"/>
          <c:h val="0.75842292786137377"/>
        </c:manualLayout>
      </c:layout>
      <c:lineChart>
        <c:grouping val="standard"/>
        <c:ser>
          <c:idx val="0"/>
          <c:order val="0"/>
          <c:tx>
            <c:strRef>
              <c:f>Sheet1!$B$1</c:f>
              <c:strCache>
                <c:ptCount val="1"/>
                <c:pt idx="0">
                  <c:v>Basic stage in the West Bank</c:v>
                </c:pt>
              </c:strCache>
            </c:strRef>
          </c:tx>
          <c:dLbls>
            <c:dLbl>
              <c:idx val="0"/>
              <c:layout>
                <c:manualLayout>
                  <c:x val="-6.9709019357967111E-2"/>
                  <c:y val="-1.4229548952501878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Sheet1!$A$2:$A$8</c:f>
              <c:strCache>
                <c:ptCount val="7"/>
                <c:pt idx="0">
                  <c:v>2007/2008</c:v>
                </c:pt>
                <c:pt idx="1">
                  <c:v>2008/2009</c:v>
                </c:pt>
                <c:pt idx="2">
                  <c:v>2009/2010</c:v>
                </c:pt>
                <c:pt idx="3">
                  <c:v>2010/2011</c:v>
                </c:pt>
                <c:pt idx="4">
                  <c:v>2011/2012</c:v>
                </c:pt>
                <c:pt idx="5">
                  <c:v>2012/2013</c:v>
                </c:pt>
                <c:pt idx="6">
                  <c:v>2013/2014</c:v>
                </c:pt>
              </c:strCache>
            </c:strRef>
          </c:cat>
          <c:val>
            <c:numRef>
              <c:f>Sheet1!$B$2:$B$8</c:f>
              <c:numCache>
                <c:formatCode>General</c:formatCode>
                <c:ptCount val="7"/>
                <c:pt idx="0">
                  <c:v>96.5</c:v>
                </c:pt>
                <c:pt idx="1">
                  <c:v>95.7</c:v>
                </c:pt>
                <c:pt idx="2">
                  <c:v>95</c:v>
                </c:pt>
                <c:pt idx="3">
                  <c:v>95</c:v>
                </c:pt>
                <c:pt idx="4">
                  <c:v>95.5</c:v>
                </c:pt>
                <c:pt idx="5">
                  <c:v>95.9</c:v>
                </c:pt>
                <c:pt idx="6">
                  <c:v>96.4</c:v>
                </c:pt>
              </c:numCache>
            </c:numRef>
          </c:val>
        </c:ser>
        <c:ser>
          <c:idx val="1"/>
          <c:order val="1"/>
          <c:tx>
            <c:strRef>
              <c:f>Sheet1!$C$1</c:f>
              <c:strCache>
                <c:ptCount val="1"/>
                <c:pt idx="0">
                  <c:v>Secondary stage in the West Bank</c:v>
                </c:pt>
              </c:strCache>
            </c:strRef>
          </c:tx>
          <c:spPr>
            <a:ln>
              <a:prstDash val="lgDash"/>
            </a:ln>
          </c:spPr>
          <c:marker>
            <c:spPr>
              <a:ln>
                <a:prstDash val="lgDash"/>
              </a:ln>
            </c:spPr>
          </c:marker>
          <c:dLbls>
            <c:dLbl>
              <c:idx val="0"/>
              <c:layout>
                <c:manualLayout>
                  <c:x val="-6.9636456733230934E-2"/>
                  <c:y val="2.9048656499636887E-3"/>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Sheet1!$A$2:$A$8</c:f>
              <c:strCache>
                <c:ptCount val="7"/>
                <c:pt idx="0">
                  <c:v>2007/2008</c:v>
                </c:pt>
                <c:pt idx="1">
                  <c:v>2008/2009</c:v>
                </c:pt>
                <c:pt idx="2">
                  <c:v>2009/2010</c:v>
                </c:pt>
                <c:pt idx="3">
                  <c:v>2010/2011</c:v>
                </c:pt>
                <c:pt idx="4">
                  <c:v>2011/2012</c:v>
                </c:pt>
                <c:pt idx="5">
                  <c:v>2012/2013</c:v>
                </c:pt>
                <c:pt idx="6">
                  <c:v>2013/2014</c:v>
                </c:pt>
              </c:strCache>
            </c:strRef>
          </c:cat>
          <c:val>
            <c:numRef>
              <c:f>Sheet1!$C$2:$C$8</c:f>
              <c:numCache>
                <c:formatCode>General</c:formatCode>
                <c:ptCount val="7"/>
                <c:pt idx="0">
                  <c:v>77.3</c:v>
                </c:pt>
                <c:pt idx="1">
                  <c:v>77</c:v>
                </c:pt>
                <c:pt idx="2">
                  <c:v>78.3</c:v>
                </c:pt>
                <c:pt idx="3">
                  <c:v>76.900000000000006</c:v>
                </c:pt>
                <c:pt idx="4">
                  <c:v>74.2</c:v>
                </c:pt>
                <c:pt idx="5">
                  <c:v>72.400000000000006</c:v>
                </c:pt>
                <c:pt idx="6">
                  <c:v>69.400000000000006</c:v>
                </c:pt>
              </c:numCache>
            </c:numRef>
          </c:val>
        </c:ser>
        <c:ser>
          <c:idx val="2"/>
          <c:order val="2"/>
          <c:tx>
            <c:strRef>
              <c:f>Sheet1!$D$1</c:f>
              <c:strCache>
                <c:ptCount val="1"/>
                <c:pt idx="0">
                  <c:v>Basic stage in the Gaza Strip</c:v>
                </c:pt>
              </c:strCache>
            </c:strRef>
          </c:tx>
          <c:dLbls>
            <c:dLbl>
              <c:idx val="0"/>
              <c:layout>
                <c:manualLayout>
                  <c:x val="-7.2150722709460852E-2"/>
                  <c:y val="1.0244026844201301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layout>
                <c:manualLayout>
                  <c:x val="-4.0962621607785032E-3"/>
                  <c:y val="3.4125533211456428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Sheet1!$A$2:$A$8</c:f>
              <c:strCache>
                <c:ptCount val="7"/>
                <c:pt idx="0">
                  <c:v>2007/2008</c:v>
                </c:pt>
                <c:pt idx="1">
                  <c:v>2008/2009</c:v>
                </c:pt>
                <c:pt idx="2">
                  <c:v>2009/2010</c:v>
                </c:pt>
                <c:pt idx="3">
                  <c:v>2010/2011</c:v>
                </c:pt>
                <c:pt idx="4">
                  <c:v>2011/2012</c:v>
                </c:pt>
                <c:pt idx="5">
                  <c:v>2012/2013</c:v>
                </c:pt>
                <c:pt idx="6">
                  <c:v>2013/2014</c:v>
                </c:pt>
              </c:strCache>
            </c:strRef>
          </c:cat>
          <c:val>
            <c:numRef>
              <c:f>Sheet1!$D$2:$D$8</c:f>
              <c:numCache>
                <c:formatCode>General</c:formatCode>
                <c:ptCount val="7"/>
                <c:pt idx="0">
                  <c:v>95.7</c:v>
                </c:pt>
                <c:pt idx="1">
                  <c:v>95.3</c:v>
                </c:pt>
                <c:pt idx="2">
                  <c:v>93.3</c:v>
                </c:pt>
                <c:pt idx="3">
                  <c:v>92.3</c:v>
                </c:pt>
                <c:pt idx="4">
                  <c:v>92.7</c:v>
                </c:pt>
                <c:pt idx="5">
                  <c:v>92.3</c:v>
                </c:pt>
                <c:pt idx="6">
                  <c:v>93.7</c:v>
                </c:pt>
              </c:numCache>
            </c:numRef>
          </c:val>
        </c:ser>
        <c:ser>
          <c:idx val="3"/>
          <c:order val="3"/>
          <c:tx>
            <c:strRef>
              <c:f>Sheet1!$E$1</c:f>
              <c:strCache>
                <c:ptCount val="1"/>
                <c:pt idx="0">
                  <c:v>Secondary stage in the Gaza Strip</c:v>
                </c:pt>
              </c:strCache>
            </c:strRef>
          </c:tx>
          <c:spPr>
            <a:ln>
              <a:prstDash val="lgDash"/>
            </a:ln>
          </c:spPr>
          <c:marker>
            <c:spPr>
              <a:ln>
                <a:prstDash val="lgDash"/>
              </a:ln>
            </c:spPr>
          </c:marker>
          <c:dLbls>
            <c:dLbl>
              <c:idx val="0"/>
              <c:layout>
                <c:manualLayout>
                  <c:x val="-6.5540194572452637E-2"/>
                  <c:y val="8.7145969498911204E-3"/>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Sheet1!$A$2:$A$8</c:f>
              <c:strCache>
                <c:ptCount val="7"/>
                <c:pt idx="0">
                  <c:v>2007/2008</c:v>
                </c:pt>
                <c:pt idx="1">
                  <c:v>2008/2009</c:v>
                </c:pt>
                <c:pt idx="2">
                  <c:v>2009/2010</c:v>
                </c:pt>
                <c:pt idx="3">
                  <c:v>2010/2011</c:v>
                </c:pt>
                <c:pt idx="4">
                  <c:v>2011/2012</c:v>
                </c:pt>
                <c:pt idx="5">
                  <c:v>2012/2013</c:v>
                </c:pt>
                <c:pt idx="6">
                  <c:v>2013/2014</c:v>
                </c:pt>
              </c:strCache>
            </c:strRef>
          </c:cat>
          <c:val>
            <c:numRef>
              <c:f>Sheet1!$E$2:$E$8</c:f>
              <c:numCache>
                <c:formatCode>General</c:formatCode>
                <c:ptCount val="7"/>
                <c:pt idx="0">
                  <c:v>83.1</c:v>
                </c:pt>
                <c:pt idx="1">
                  <c:v>84</c:v>
                </c:pt>
                <c:pt idx="2">
                  <c:v>86</c:v>
                </c:pt>
                <c:pt idx="3">
                  <c:v>78.5</c:v>
                </c:pt>
                <c:pt idx="4">
                  <c:v>78.900000000000006</c:v>
                </c:pt>
                <c:pt idx="5">
                  <c:v>75.3</c:v>
                </c:pt>
                <c:pt idx="6">
                  <c:v>72.2</c:v>
                </c:pt>
              </c:numCache>
            </c:numRef>
          </c:val>
        </c:ser>
        <c:ser>
          <c:idx val="4"/>
          <c:order val="4"/>
          <c:tx>
            <c:strRef>
              <c:f>Sheet1!$F$1</c:f>
              <c:strCache>
                <c:ptCount val="1"/>
                <c:pt idx="0">
                  <c:v>Palestine male in Basic education</c:v>
                </c:pt>
              </c:strCache>
            </c:strRef>
          </c:tx>
          <c:dLbls>
            <c:dLbl>
              <c:idx val="0"/>
              <c:layout>
                <c:manualLayout>
                  <c:x val="-4.0962621607784133E-2"/>
                  <c:y val="2.9048656499636887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layout>
                <c:manualLayout>
                  <c:x val="0"/>
                  <c:y val="-2.4375380865326412E-3"/>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Sheet1!$A$2:$A$8</c:f>
              <c:strCache>
                <c:ptCount val="7"/>
                <c:pt idx="0">
                  <c:v>2007/2008</c:v>
                </c:pt>
                <c:pt idx="1">
                  <c:v>2008/2009</c:v>
                </c:pt>
                <c:pt idx="2">
                  <c:v>2009/2010</c:v>
                </c:pt>
                <c:pt idx="3">
                  <c:v>2010/2011</c:v>
                </c:pt>
                <c:pt idx="4">
                  <c:v>2011/2012</c:v>
                </c:pt>
                <c:pt idx="5">
                  <c:v>2012/2013</c:v>
                </c:pt>
                <c:pt idx="6">
                  <c:v>2013/2014</c:v>
                </c:pt>
              </c:strCache>
            </c:strRef>
          </c:cat>
          <c:val>
            <c:numRef>
              <c:f>Sheet1!$F$2:$F$8</c:f>
              <c:numCache>
                <c:formatCode>General</c:formatCode>
                <c:ptCount val="7"/>
                <c:pt idx="0">
                  <c:v>94.7</c:v>
                </c:pt>
                <c:pt idx="1">
                  <c:v>94.2</c:v>
                </c:pt>
                <c:pt idx="2">
                  <c:v>93.3</c:v>
                </c:pt>
                <c:pt idx="3">
                  <c:v>91.8</c:v>
                </c:pt>
                <c:pt idx="4">
                  <c:v>93.4</c:v>
                </c:pt>
                <c:pt idx="5">
                  <c:v>93.1</c:v>
                </c:pt>
                <c:pt idx="6">
                  <c:v>94.2</c:v>
                </c:pt>
              </c:numCache>
            </c:numRef>
          </c:val>
        </c:ser>
        <c:ser>
          <c:idx val="5"/>
          <c:order val="5"/>
          <c:tx>
            <c:strRef>
              <c:f>Sheet1!$G$1</c:f>
              <c:strCache>
                <c:ptCount val="1"/>
                <c:pt idx="0">
                  <c:v>Palestine female in Basic education</c:v>
                </c:pt>
              </c:strCache>
            </c:strRef>
          </c:tx>
          <c:dLbls>
            <c:dLbl>
              <c:idx val="0"/>
              <c:layout>
                <c:manualLayout>
                  <c:x val="-5.5299539170506916E-2"/>
                  <c:y val="-2.6143790849674452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layout>
                <c:manualLayout>
                  <c:x val="-1.0240655401945725E-2"/>
                  <c:y val="-3.6563071297989032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Sheet1!$A$2:$A$8</c:f>
              <c:strCache>
                <c:ptCount val="7"/>
                <c:pt idx="0">
                  <c:v>2007/2008</c:v>
                </c:pt>
                <c:pt idx="1">
                  <c:v>2008/2009</c:v>
                </c:pt>
                <c:pt idx="2">
                  <c:v>2009/2010</c:v>
                </c:pt>
                <c:pt idx="3">
                  <c:v>2010/2011</c:v>
                </c:pt>
                <c:pt idx="4">
                  <c:v>2011/2012</c:v>
                </c:pt>
                <c:pt idx="5">
                  <c:v>2012/2013</c:v>
                </c:pt>
                <c:pt idx="6">
                  <c:v>2013/2014</c:v>
                </c:pt>
              </c:strCache>
            </c:strRef>
          </c:cat>
          <c:val>
            <c:numRef>
              <c:f>Sheet1!$G$2:$G$8</c:f>
              <c:numCache>
                <c:formatCode>General</c:formatCode>
                <c:ptCount val="7"/>
                <c:pt idx="0">
                  <c:v>97.7</c:v>
                </c:pt>
                <c:pt idx="1">
                  <c:v>96.9</c:v>
                </c:pt>
                <c:pt idx="2">
                  <c:v>95.5</c:v>
                </c:pt>
                <c:pt idx="3">
                  <c:v>96.1</c:v>
                </c:pt>
                <c:pt idx="4">
                  <c:v>95.5</c:v>
                </c:pt>
                <c:pt idx="5">
                  <c:v>95.9</c:v>
                </c:pt>
                <c:pt idx="6">
                  <c:v>96.5</c:v>
                </c:pt>
              </c:numCache>
            </c:numRef>
          </c:val>
        </c:ser>
        <c:ser>
          <c:idx val="6"/>
          <c:order val="6"/>
          <c:tx>
            <c:strRef>
              <c:f>Sheet1!$H$1</c:f>
              <c:strCache>
                <c:ptCount val="1"/>
                <c:pt idx="0">
                  <c:v>Palestine Male in secondary stage</c:v>
                </c:pt>
              </c:strCache>
            </c:strRef>
          </c:tx>
          <c:spPr>
            <a:ln>
              <a:prstDash val="lgDash"/>
            </a:ln>
          </c:spPr>
          <c:marker>
            <c:spPr>
              <a:ln>
                <a:prstDash val="lgDash"/>
              </a:ln>
            </c:spPr>
          </c:marker>
          <c:dLbls>
            <c:dLbl>
              <c:idx val="0"/>
              <c:layout>
                <c:manualLayout>
                  <c:x val="-6.1443932411674354E-2"/>
                  <c:y val="0"/>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Sheet1!$A$2:$A$8</c:f>
              <c:strCache>
                <c:ptCount val="7"/>
                <c:pt idx="0">
                  <c:v>2007/2008</c:v>
                </c:pt>
                <c:pt idx="1">
                  <c:v>2008/2009</c:v>
                </c:pt>
                <c:pt idx="2">
                  <c:v>2009/2010</c:v>
                </c:pt>
                <c:pt idx="3">
                  <c:v>2010/2011</c:v>
                </c:pt>
                <c:pt idx="4">
                  <c:v>2011/2012</c:v>
                </c:pt>
                <c:pt idx="5">
                  <c:v>2012/2013</c:v>
                </c:pt>
                <c:pt idx="6">
                  <c:v>2013/2014</c:v>
                </c:pt>
              </c:strCache>
            </c:strRef>
          </c:cat>
          <c:val>
            <c:numRef>
              <c:f>Sheet1!$H$2:$H$8</c:f>
              <c:numCache>
                <c:formatCode>General</c:formatCode>
                <c:ptCount val="7"/>
                <c:pt idx="0">
                  <c:v>72.7</c:v>
                </c:pt>
                <c:pt idx="1">
                  <c:v>72.7</c:v>
                </c:pt>
                <c:pt idx="2">
                  <c:v>72.900000000000006</c:v>
                </c:pt>
                <c:pt idx="3">
                  <c:v>68.3</c:v>
                </c:pt>
                <c:pt idx="4">
                  <c:v>67.900000000000006</c:v>
                </c:pt>
                <c:pt idx="5">
                  <c:v>64.900000000000006</c:v>
                </c:pt>
                <c:pt idx="6">
                  <c:v>61.2</c:v>
                </c:pt>
              </c:numCache>
            </c:numRef>
          </c:val>
        </c:ser>
        <c:ser>
          <c:idx val="7"/>
          <c:order val="7"/>
          <c:tx>
            <c:strRef>
              <c:f>Sheet1!$I$1</c:f>
              <c:strCache>
                <c:ptCount val="1"/>
                <c:pt idx="0">
                  <c:v>Palestine females in secondary state</c:v>
                </c:pt>
              </c:strCache>
            </c:strRef>
          </c:tx>
          <c:spPr>
            <a:ln>
              <a:prstDash val="lgDash"/>
            </a:ln>
          </c:spPr>
          <c:marker>
            <c:spPr>
              <a:ln>
                <a:prstDash val="lgDash"/>
              </a:ln>
            </c:spPr>
          </c:marker>
          <c:dLbls>
            <c:dLbl>
              <c:idx val="0"/>
              <c:layout>
                <c:manualLayout>
                  <c:x val="-5.7347670250899124E-2"/>
                  <c:y val="-1.1619462599854757E-2"/>
                </c:manualLayout>
              </c:layout>
              <c:showVal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Sheet1!$A$2:$A$8</c:f>
              <c:strCache>
                <c:ptCount val="7"/>
                <c:pt idx="0">
                  <c:v>2007/2008</c:v>
                </c:pt>
                <c:pt idx="1">
                  <c:v>2008/2009</c:v>
                </c:pt>
                <c:pt idx="2">
                  <c:v>2009/2010</c:v>
                </c:pt>
                <c:pt idx="3">
                  <c:v>2010/2011</c:v>
                </c:pt>
                <c:pt idx="4">
                  <c:v>2011/2012</c:v>
                </c:pt>
                <c:pt idx="5">
                  <c:v>2012/2013</c:v>
                </c:pt>
                <c:pt idx="6">
                  <c:v>2013/2014</c:v>
                </c:pt>
              </c:strCache>
            </c:strRef>
          </c:cat>
          <c:val>
            <c:numRef>
              <c:f>Sheet1!$I$2:$I$8</c:f>
              <c:numCache>
                <c:formatCode>General</c:formatCode>
                <c:ptCount val="7"/>
                <c:pt idx="0">
                  <c:v>86.7</c:v>
                </c:pt>
                <c:pt idx="1">
                  <c:v>86.9</c:v>
                </c:pt>
                <c:pt idx="2">
                  <c:v>90</c:v>
                </c:pt>
                <c:pt idx="3">
                  <c:v>87.1</c:v>
                </c:pt>
                <c:pt idx="4">
                  <c:v>84.5</c:v>
                </c:pt>
                <c:pt idx="5">
                  <c:v>82.5</c:v>
                </c:pt>
                <c:pt idx="6">
                  <c:v>80.099999999999994</c:v>
                </c:pt>
              </c:numCache>
            </c:numRef>
          </c:val>
        </c:ser>
        <c:marker val="1"/>
        <c:axId val="203347840"/>
        <c:axId val="203349376"/>
      </c:lineChart>
      <c:catAx>
        <c:axId val="203347840"/>
        <c:scaling>
          <c:orientation val="minMax"/>
        </c:scaling>
        <c:axPos val="b"/>
        <c:numFmt formatCode="General" sourceLinked="1"/>
        <c:majorTickMark val="none"/>
        <c:tickLblPos val="nextTo"/>
        <c:txPr>
          <a:bodyPr/>
          <a:lstStyle/>
          <a:p>
            <a:pPr>
              <a:defRPr sz="900">
                <a:latin typeface="Arial" pitchFamily="34" charset="0"/>
                <a:cs typeface="Arial" pitchFamily="34" charset="0"/>
              </a:defRPr>
            </a:pPr>
            <a:endParaRPr lang="en-US"/>
          </a:p>
        </c:txPr>
        <c:crossAx val="203349376"/>
        <c:crosses val="autoZero"/>
        <c:auto val="1"/>
        <c:lblAlgn val="ctr"/>
        <c:lblOffset val="100"/>
      </c:catAx>
      <c:valAx>
        <c:axId val="203349376"/>
        <c:scaling>
          <c:orientation val="minMax"/>
          <c:max val="100"/>
          <c:min val="60"/>
        </c:scaling>
        <c:axPos val="l"/>
        <c:majorGridlines/>
        <c:numFmt formatCode="General" sourceLinked="1"/>
        <c:majorTickMark val="none"/>
        <c:tickLblPos val="nextTo"/>
        <c:crossAx val="203347840"/>
        <c:crosses val="autoZero"/>
        <c:crossBetween val="between"/>
        <c:majorUnit val="10"/>
        <c:minorUnit val="5"/>
      </c:valAx>
    </c:plotArea>
    <c:legend>
      <c:legendPos val="t"/>
      <c:legendEntry>
        <c:idx val="4"/>
        <c:txPr>
          <a:bodyPr/>
          <a:lstStyle/>
          <a:p>
            <a:pPr algn="justLow">
              <a:defRPr sz="900">
                <a:latin typeface="Arial" pitchFamily="34" charset="0"/>
                <a:cs typeface="Arial" pitchFamily="34" charset="0"/>
              </a:defRPr>
            </a:pPr>
            <a:endParaRPr lang="en-US"/>
          </a:p>
        </c:txPr>
      </c:legendEntry>
      <c:layout>
        <c:manualLayout>
          <c:xMode val="edge"/>
          <c:yMode val="edge"/>
          <c:x val="2.0607878420442979E-2"/>
          <c:y val="1.2187690432663011E-2"/>
          <c:w val="0.96283298887599456"/>
          <c:h val="0.11541397361892834"/>
        </c:manualLayout>
      </c:layout>
      <c:spPr>
        <a:ln>
          <a:solidFill>
            <a:srgbClr val="4F81BD"/>
          </a:solidFill>
        </a:ln>
      </c:spPr>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Sheet1!$B$1</c:f>
              <c:strCache>
                <c:ptCount val="1"/>
                <c:pt idx="0">
                  <c:v>Secondary</c:v>
                </c:pt>
              </c:strCache>
            </c:strRef>
          </c:tx>
          <c:dLbls>
            <c:spPr>
              <a:noFill/>
              <a:ln>
                <a:noFill/>
              </a:ln>
              <a:effectLst/>
            </c:spPr>
            <c:showVal val="1"/>
            <c:extLst>
              <c:ext xmlns:c15="http://schemas.microsoft.com/office/drawing/2012/chart" uri="{CE6537A1-D6FC-4f65-9D91-7224C49458BB}">
                <c15:showLeaderLines val="0"/>
              </c:ext>
            </c:extLst>
          </c:dLbls>
          <c:cat>
            <c:strRef>
              <c:f>Sheet1!$A$2</c:f>
              <c:strCache>
                <c:ptCount val="1"/>
                <c:pt idx="0">
                  <c:v>2012/2013</c:v>
                </c:pt>
              </c:strCache>
            </c:strRef>
          </c:cat>
          <c:val>
            <c:numRef>
              <c:f>Sheet1!$B$2</c:f>
              <c:numCache>
                <c:formatCode>General</c:formatCode>
                <c:ptCount val="1"/>
                <c:pt idx="0">
                  <c:v>3.3</c:v>
                </c:pt>
              </c:numCache>
            </c:numRef>
          </c:val>
        </c:ser>
        <c:ser>
          <c:idx val="1"/>
          <c:order val="1"/>
          <c:tx>
            <c:strRef>
              <c:f>Sheet1!$C$1</c:f>
              <c:strCache>
                <c:ptCount val="1"/>
                <c:pt idx="0">
                  <c:v>Secondary Female</c:v>
                </c:pt>
              </c:strCache>
            </c:strRef>
          </c:tx>
          <c:dLbls>
            <c:spPr>
              <a:noFill/>
              <a:ln>
                <a:noFill/>
              </a:ln>
              <a:effectLst/>
            </c:spPr>
            <c:showVal val="1"/>
            <c:extLst>
              <c:ext xmlns:c15="http://schemas.microsoft.com/office/drawing/2012/chart" uri="{CE6537A1-D6FC-4f65-9D91-7224C49458BB}">
                <c15:showLeaderLines val="0"/>
              </c:ext>
            </c:extLst>
          </c:dLbls>
          <c:cat>
            <c:strRef>
              <c:f>Sheet1!$A$2</c:f>
              <c:strCache>
                <c:ptCount val="1"/>
                <c:pt idx="0">
                  <c:v>2012/2013</c:v>
                </c:pt>
              </c:strCache>
            </c:strRef>
          </c:cat>
          <c:val>
            <c:numRef>
              <c:f>Sheet1!$C$2</c:f>
              <c:numCache>
                <c:formatCode>General</c:formatCode>
                <c:ptCount val="1"/>
                <c:pt idx="0">
                  <c:v>3.1</c:v>
                </c:pt>
              </c:numCache>
            </c:numRef>
          </c:val>
        </c:ser>
        <c:ser>
          <c:idx val="2"/>
          <c:order val="2"/>
          <c:tx>
            <c:strRef>
              <c:f>Sheet1!$D$1</c:f>
              <c:strCache>
                <c:ptCount val="1"/>
                <c:pt idx="0">
                  <c:v>Secondary Male</c:v>
                </c:pt>
              </c:strCache>
            </c:strRef>
          </c:tx>
          <c:dLbls>
            <c:spPr>
              <a:noFill/>
              <a:ln>
                <a:noFill/>
              </a:ln>
              <a:effectLst/>
            </c:spPr>
            <c:showVal val="1"/>
            <c:extLst>
              <c:ext xmlns:c15="http://schemas.microsoft.com/office/drawing/2012/chart" uri="{CE6537A1-D6FC-4f65-9D91-7224C49458BB}">
                <c15:showLeaderLines val="0"/>
              </c:ext>
            </c:extLst>
          </c:dLbls>
          <c:cat>
            <c:strRef>
              <c:f>Sheet1!$A$2</c:f>
              <c:strCache>
                <c:ptCount val="1"/>
                <c:pt idx="0">
                  <c:v>2012/2013</c:v>
                </c:pt>
              </c:strCache>
            </c:strRef>
          </c:cat>
          <c:val>
            <c:numRef>
              <c:f>Sheet1!$D$2</c:f>
              <c:numCache>
                <c:formatCode>General</c:formatCode>
                <c:ptCount val="1"/>
                <c:pt idx="0">
                  <c:v>3.5</c:v>
                </c:pt>
              </c:numCache>
            </c:numRef>
          </c:val>
        </c:ser>
        <c:ser>
          <c:idx val="3"/>
          <c:order val="3"/>
          <c:tx>
            <c:strRef>
              <c:f>Sheet1!$E$1</c:f>
              <c:strCache>
                <c:ptCount val="1"/>
                <c:pt idx="0">
                  <c:v>Basic</c:v>
                </c:pt>
              </c:strCache>
            </c:strRef>
          </c:tx>
          <c:dLbls>
            <c:spPr>
              <a:noFill/>
              <a:ln>
                <a:noFill/>
              </a:ln>
              <a:effectLst/>
            </c:spPr>
            <c:showVal val="1"/>
            <c:extLst>
              <c:ext xmlns:c15="http://schemas.microsoft.com/office/drawing/2012/chart" uri="{CE6537A1-D6FC-4f65-9D91-7224C49458BB}">
                <c15:showLeaderLines val="0"/>
              </c:ext>
            </c:extLst>
          </c:dLbls>
          <c:cat>
            <c:strRef>
              <c:f>Sheet1!$A$2</c:f>
              <c:strCache>
                <c:ptCount val="1"/>
                <c:pt idx="0">
                  <c:v>2012/2013</c:v>
                </c:pt>
              </c:strCache>
            </c:strRef>
          </c:cat>
          <c:val>
            <c:numRef>
              <c:f>Sheet1!$E$2</c:f>
              <c:numCache>
                <c:formatCode>General</c:formatCode>
                <c:ptCount val="1"/>
                <c:pt idx="0">
                  <c:v>0.70000000000000062</c:v>
                </c:pt>
              </c:numCache>
            </c:numRef>
          </c:val>
        </c:ser>
        <c:ser>
          <c:idx val="4"/>
          <c:order val="4"/>
          <c:tx>
            <c:strRef>
              <c:f>Sheet1!$F$1</c:f>
              <c:strCache>
                <c:ptCount val="1"/>
                <c:pt idx="0">
                  <c:v>Basic Female</c:v>
                </c:pt>
              </c:strCache>
            </c:strRef>
          </c:tx>
          <c:dLbls>
            <c:spPr>
              <a:noFill/>
              <a:ln>
                <a:noFill/>
              </a:ln>
              <a:effectLst/>
            </c:spPr>
            <c:showVal val="1"/>
            <c:extLst>
              <c:ext xmlns:c15="http://schemas.microsoft.com/office/drawing/2012/chart" uri="{CE6537A1-D6FC-4f65-9D91-7224C49458BB}">
                <c15:showLeaderLines val="0"/>
              </c:ext>
            </c:extLst>
          </c:dLbls>
          <c:cat>
            <c:strRef>
              <c:f>Sheet1!$A$2</c:f>
              <c:strCache>
                <c:ptCount val="1"/>
                <c:pt idx="0">
                  <c:v>2012/2013</c:v>
                </c:pt>
              </c:strCache>
            </c:strRef>
          </c:cat>
          <c:val>
            <c:numRef>
              <c:f>Sheet1!$F$2</c:f>
              <c:numCache>
                <c:formatCode>General</c:formatCode>
                <c:ptCount val="1"/>
                <c:pt idx="0">
                  <c:v>0.5</c:v>
                </c:pt>
              </c:numCache>
            </c:numRef>
          </c:val>
        </c:ser>
        <c:ser>
          <c:idx val="5"/>
          <c:order val="5"/>
          <c:tx>
            <c:strRef>
              <c:f>Sheet1!$G$1</c:f>
              <c:strCache>
                <c:ptCount val="1"/>
                <c:pt idx="0">
                  <c:v>Basic Male</c:v>
                </c:pt>
              </c:strCache>
            </c:strRef>
          </c:tx>
          <c:dLbls>
            <c:dLbl>
              <c:idx val="0"/>
              <c:tx>
                <c:rich>
                  <a:bodyPr/>
                  <a:lstStyle/>
                  <a:p>
                    <a:r>
                      <a:rPr lang="ar-SA" sz="1000" b="0"/>
                      <a:t>1</a:t>
                    </a:r>
                    <a:r>
                      <a:rPr lang="ar-SA" sz="900"/>
                      <a:t>.0</a:t>
                    </a:r>
                    <a:endParaRPr lang="ar-SA"/>
                  </a:p>
                </c:rich>
              </c:tx>
              <c:showVal val="1"/>
              <c:extLst>
                <c:ext xmlns:c15="http://schemas.microsoft.com/office/drawing/2012/chart" uri="{CE6537A1-D6FC-4f65-9D91-7224C49458BB}"/>
              </c:extLst>
            </c:dLbl>
            <c:spPr>
              <a:noFill/>
              <a:ln>
                <a:noFill/>
              </a:ln>
              <a:effectLst/>
            </c:spPr>
            <c:txPr>
              <a:bodyPr/>
              <a:lstStyle/>
              <a:p>
                <a:pPr>
                  <a:defRPr sz="1000" b="0"/>
                </a:pPr>
                <a:endParaRPr lang="en-US"/>
              </a:p>
            </c:txPr>
            <c:showVal val="1"/>
            <c:extLst>
              <c:ext xmlns:c15="http://schemas.microsoft.com/office/drawing/2012/chart" uri="{CE6537A1-D6FC-4f65-9D91-7224C49458BB}">
                <c15:showLeaderLines val="0"/>
              </c:ext>
            </c:extLst>
          </c:dLbls>
          <c:cat>
            <c:strRef>
              <c:f>Sheet1!$A$2</c:f>
              <c:strCache>
                <c:ptCount val="1"/>
                <c:pt idx="0">
                  <c:v>2012/2013</c:v>
                </c:pt>
              </c:strCache>
            </c:strRef>
          </c:cat>
          <c:val>
            <c:numRef>
              <c:f>Sheet1!$G$2</c:f>
              <c:numCache>
                <c:formatCode>General</c:formatCode>
                <c:ptCount val="1"/>
                <c:pt idx="0">
                  <c:v>1</c:v>
                </c:pt>
              </c:numCache>
            </c:numRef>
          </c:val>
        </c:ser>
        <c:ser>
          <c:idx val="6"/>
          <c:order val="6"/>
          <c:tx>
            <c:strRef>
              <c:f>Sheet1!$H$1</c:f>
              <c:strCache>
                <c:ptCount val="1"/>
                <c:pt idx="0">
                  <c:v>Female</c:v>
                </c:pt>
              </c:strCache>
            </c:strRef>
          </c:tx>
          <c:dLbls>
            <c:spPr>
              <a:noFill/>
              <a:ln>
                <a:noFill/>
              </a:ln>
              <a:effectLst/>
            </c:spPr>
            <c:showVal val="1"/>
            <c:extLst>
              <c:ext xmlns:c15="http://schemas.microsoft.com/office/drawing/2012/chart" uri="{CE6537A1-D6FC-4f65-9D91-7224C49458BB}">
                <c15:showLeaderLines val="0"/>
              </c:ext>
            </c:extLst>
          </c:dLbls>
          <c:cat>
            <c:strRef>
              <c:f>Sheet1!$A$2</c:f>
              <c:strCache>
                <c:ptCount val="1"/>
                <c:pt idx="0">
                  <c:v>2012/2013</c:v>
                </c:pt>
              </c:strCache>
            </c:strRef>
          </c:cat>
          <c:val>
            <c:numRef>
              <c:f>Sheet1!$H$2</c:f>
              <c:numCache>
                <c:formatCode>General</c:formatCode>
                <c:ptCount val="1"/>
                <c:pt idx="0">
                  <c:v>0.8</c:v>
                </c:pt>
              </c:numCache>
            </c:numRef>
          </c:val>
        </c:ser>
        <c:ser>
          <c:idx val="7"/>
          <c:order val="7"/>
          <c:tx>
            <c:strRef>
              <c:f>Sheet1!$I$1</c:f>
              <c:strCache>
                <c:ptCount val="1"/>
                <c:pt idx="0">
                  <c:v>Male</c:v>
                </c:pt>
              </c:strCache>
            </c:strRef>
          </c:tx>
          <c:dLbls>
            <c:spPr>
              <a:noFill/>
              <a:ln>
                <a:noFill/>
              </a:ln>
              <a:effectLst/>
            </c:spPr>
            <c:showVal val="1"/>
            <c:extLst>
              <c:ext xmlns:c15="http://schemas.microsoft.com/office/drawing/2012/chart" uri="{CE6537A1-D6FC-4f65-9D91-7224C49458BB}">
                <c15:showLeaderLines val="0"/>
              </c:ext>
            </c:extLst>
          </c:dLbls>
          <c:cat>
            <c:strRef>
              <c:f>Sheet1!$A$2</c:f>
              <c:strCache>
                <c:ptCount val="1"/>
                <c:pt idx="0">
                  <c:v>2012/2013</c:v>
                </c:pt>
              </c:strCache>
            </c:strRef>
          </c:cat>
          <c:val>
            <c:numRef>
              <c:f>Sheet1!$I$2</c:f>
              <c:numCache>
                <c:formatCode>General</c:formatCode>
                <c:ptCount val="1"/>
                <c:pt idx="0">
                  <c:v>1.3</c:v>
                </c:pt>
              </c:numCache>
            </c:numRef>
          </c:val>
        </c:ser>
        <c:overlap val="-25"/>
        <c:axId val="204828672"/>
        <c:axId val="204830208"/>
      </c:barChart>
      <c:catAx>
        <c:axId val="204828672"/>
        <c:scaling>
          <c:orientation val="minMax"/>
        </c:scaling>
        <c:axPos val="b"/>
        <c:numFmt formatCode="General" sourceLinked="0"/>
        <c:tickLblPos val="nextTo"/>
        <c:crossAx val="204830208"/>
        <c:crosses val="autoZero"/>
        <c:auto val="1"/>
        <c:lblAlgn val="ctr"/>
        <c:lblOffset val="100"/>
      </c:catAx>
      <c:valAx>
        <c:axId val="204830208"/>
        <c:scaling>
          <c:orientation val="minMax"/>
        </c:scaling>
        <c:axPos val="l"/>
        <c:majorGridlines/>
        <c:numFmt formatCode="General" sourceLinked="1"/>
        <c:tickLblPos val="nextTo"/>
        <c:crossAx val="204828672"/>
        <c:crosses val="autoZero"/>
        <c:crossBetween val="between"/>
      </c:valAx>
    </c:plotArea>
    <c:legend>
      <c:legendPos val="b"/>
      <c:layout>
        <c:manualLayout>
          <c:xMode val="edge"/>
          <c:yMode val="edge"/>
          <c:x val="0.10506738795197022"/>
          <c:y val="0.78618164474893559"/>
          <c:w val="0.87556934817122956"/>
          <c:h val="0.18227073324622756"/>
        </c:manualLayout>
      </c:layout>
      <c:spPr>
        <a:ln>
          <a:solidFill>
            <a:srgbClr val="4F81BD"/>
          </a:solidFill>
        </a:ln>
      </c:spPr>
    </c:legend>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Sheet1!$B$1</c:f>
              <c:strCache>
                <c:ptCount val="1"/>
                <c:pt idx="0">
                  <c:v>Area C schools </c:v>
                </c:pt>
              </c:strCache>
            </c:strRef>
          </c:tx>
          <c:dLbls>
            <c:spPr>
              <a:noFill/>
              <a:ln>
                <a:noFill/>
              </a:ln>
              <a:effectLst/>
            </c:spPr>
            <c:showVal val="1"/>
            <c:extLst>
              <c:ext xmlns:c15="http://schemas.microsoft.com/office/drawing/2012/chart" uri="{CE6537A1-D6FC-4f65-9D91-7224C49458BB}">
                <c15:showLeaderLines val="0"/>
              </c:ext>
            </c:extLst>
          </c:dLbls>
          <c:cat>
            <c:strRef>
              <c:f>Sheet1!$A$2:$A$3</c:f>
              <c:strCache>
                <c:ptCount val="2"/>
                <c:pt idx="0">
                  <c:v>2009/2010</c:v>
                </c:pt>
                <c:pt idx="1">
                  <c:v>2010/2011</c:v>
                </c:pt>
              </c:strCache>
            </c:strRef>
          </c:cat>
          <c:val>
            <c:numRef>
              <c:f>Sheet1!$B$2:$B$3</c:f>
              <c:numCache>
                <c:formatCode>General</c:formatCode>
                <c:ptCount val="2"/>
                <c:pt idx="0">
                  <c:v>1.4</c:v>
                </c:pt>
                <c:pt idx="1">
                  <c:v>1.8</c:v>
                </c:pt>
              </c:numCache>
            </c:numRef>
          </c:val>
        </c:ser>
        <c:ser>
          <c:idx val="1"/>
          <c:order val="1"/>
          <c:tx>
            <c:strRef>
              <c:f>Sheet1!$C$1</c:f>
              <c:strCache>
                <c:ptCount val="1"/>
                <c:pt idx="0">
                  <c:v>West  Bank schools </c:v>
                </c:pt>
              </c:strCache>
            </c:strRef>
          </c:tx>
          <c:spPr>
            <a:solidFill>
              <a:schemeClr val="bg2">
                <a:lumMod val="75000"/>
              </a:schemeClr>
            </a:solidFill>
          </c:spPr>
          <c:dPt>
            <c:idx val="0"/>
            <c:spPr>
              <a:solidFill>
                <a:schemeClr val="accent6">
                  <a:lumMod val="40000"/>
                  <a:lumOff val="60000"/>
                </a:schemeClr>
              </a:solidFill>
            </c:spPr>
          </c:dPt>
          <c:dPt>
            <c:idx val="1"/>
            <c:spPr>
              <a:solidFill>
                <a:schemeClr val="accent6">
                  <a:lumMod val="40000"/>
                  <a:lumOff val="60000"/>
                </a:schemeClr>
              </a:solidFill>
            </c:spPr>
          </c:dPt>
          <c:dLbls>
            <c:dLbl>
              <c:idx val="0"/>
              <c:tx>
                <c:rich>
                  <a:bodyPr/>
                  <a:lstStyle/>
                  <a:p>
                    <a:r>
                      <a:rPr lang="en-US"/>
                      <a:t>1.0</a:t>
                    </a:r>
                  </a:p>
                </c:rich>
              </c:tx>
              <c:showVal val="1"/>
              <c:extLst>
                <c:ext xmlns:c15="http://schemas.microsoft.com/office/drawing/2012/chart" uri="{CE6537A1-D6FC-4f65-9D91-7224C49458BB}"/>
              </c:extLst>
            </c:dLbl>
            <c:dLbl>
              <c:idx val="1"/>
              <c:showVal val="1"/>
              <c:extLst>
                <c:ext xmlns:c15="http://schemas.microsoft.com/office/drawing/2012/chart" uri="{CE6537A1-D6FC-4f65-9D91-7224C49458BB}"/>
              </c:extLst>
            </c:dLbl>
            <c:delete val="1"/>
            <c:spPr>
              <a:noFill/>
              <a:ln>
                <a:noFill/>
              </a:ln>
              <a:effectLst/>
            </c:spPr>
            <c:extLst>
              <c:ext xmlns:c15="http://schemas.microsoft.com/office/drawing/2012/chart" uri="{CE6537A1-D6FC-4f65-9D91-7224C49458BB}">
                <c15:showLeaderLines val="0"/>
              </c:ext>
            </c:extLst>
          </c:dLbls>
          <c:cat>
            <c:strRef>
              <c:f>Sheet1!$A$2:$A$3</c:f>
              <c:strCache>
                <c:ptCount val="2"/>
                <c:pt idx="0">
                  <c:v>2009/2010</c:v>
                </c:pt>
                <c:pt idx="1">
                  <c:v>2010/2011</c:v>
                </c:pt>
              </c:strCache>
            </c:strRef>
          </c:cat>
          <c:val>
            <c:numRef>
              <c:f>Sheet1!$C$2:$C$3</c:f>
              <c:numCache>
                <c:formatCode>General</c:formatCode>
                <c:ptCount val="2"/>
                <c:pt idx="0">
                  <c:v>1</c:v>
                </c:pt>
                <c:pt idx="1">
                  <c:v>1.4</c:v>
                </c:pt>
              </c:numCache>
            </c:numRef>
          </c:val>
        </c:ser>
        <c:axId val="198600576"/>
        <c:axId val="198602112"/>
      </c:barChart>
      <c:catAx>
        <c:axId val="198600576"/>
        <c:scaling>
          <c:orientation val="minMax"/>
        </c:scaling>
        <c:axPos val="b"/>
        <c:numFmt formatCode="General" sourceLinked="0"/>
        <c:tickLblPos val="nextTo"/>
        <c:crossAx val="198602112"/>
        <c:crosses val="autoZero"/>
        <c:auto val="1"/>
        <c:lblAlgn val="ctr"/>
        <c:lblOffset val="100"/>
      </c:catAx>
      <c:valAx>
        <c:axId val="198602112"/>
        <c:scaling>
          <c:orientation val="minMax"/>
        </c:scaling>
        <c:axPos val="l"/>
        <c:majorGridlines/>
        <c:numFmt formatCode="General" sourceLinked="1"/>
        <c:tickLblPos val="nextTo"/>
        <c:crossAx val="198600576"/>
        <c:crosses val="autoZero"/>
        <c:crossBetween val="between"/>
      </c:valAx>
    </c:plotArea>
    <c:legend>
      <c:legendPos val="r"/>
      <c:spPr>
        <a:ln>
          <a:solidFill>
            <a:srgbClr val="4F81BD"/>
          </a:solidFill>
        </a:ln>
      </c:spPr>
    </c:legend>
    <c:plotVisOnly val="1"/>
    <c:dispBlanksAs val="gap"/>
  </c:chart>
  <c:externalData r:id="rId1"/>
</c:chartSpace>
</file>

<file path=word/diagrams/_rels/data1.xml.rels><?xml version="1.0" encoding="UTF-8" standalone="yes"?>
<Relationships xmlns="http://schemas.openxmlformats.org/package/2006/relationships"><Relationship Id="rId1" Type="http://schemas.openxmlformats.org/officeDocument/2006/relationships/image" Target="../media/image5.png"/></Relationships>
</file>

<file path=word/diagrams/_rels/drawing1.xml.rels><?xml version="1.0" encoding="UTF-8" standalone="yes"?>
<Relationships xmlns="http://schemas.openxmlformats.org/package/2006/relationships"><Relationship Id="rId1" Type="http://schemas.openxmlformats.org/officeDocument/2006/relationships/image" Target="../media/image5.png"/></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C72B2AE-2562-470F-AAB3-13CF26E5713D}" type="doc">
      <dgm:prSet loTypeId="urn:microsoft.com/office/officeart/2005/8/layout/hList3" loCatId="list" qsTypeId="urn:microsoft.com/office/officeart/2005/8/quickstyle/simple1" qsCatId="simple" csTypeId="urn:microsoft.com/office/officeart/2005/8/colors/accent1_4" csCatId="accent1" phldr="1"/>
      <dgm:spPr/>
      <dgm:t>
        <a:bodyPr/>
        <a:lstStyle/>
        <a:p>
          <a:endParaRPr lang="en-US"/>
        </a:p>
      </dgm:t>
    </dgm:pt>
    <dgm:pt modelId="{73F84B7F-C9FB-49F7-A640-5BD36EB11B76}">
      <dgm:prSet custT="1"/>
      <dgm:spPr>
        <a:solidFill>
          <a:schemeClr val="accent6">
            <a:lumMod val="40000"/>
            <a:lumOff val="60000"/>
          </a:schemeClr>
        </a:solidFill>
      </dgm:spPr>
      <dgm:t>
        <a:bodyPr/>
        <a:lstStyle/>
        <a:p>
          <a:pPr algn="ctr"/>
          <a:r>
            <a:rPr lang="ar-SA" sz="1050">
              <a:solidFill>
                <a:srgbClr val="002060"/>
              </a:solidFill>
              <a:latin typeface="Times New Roman" pitchFamily="18" charset="0"/>
              <a:cs typeface="Times New Roman" pitchFamily="18" charset="0"/>
            </a:rPr>
            <a:t>16</a:t>
          </a:r>
          <a:r>
            <a:rPr lang="en-US" sz="1050">
              <a:solidFill>
                <a:srgbClr val="002060"/>
              </a:solidFill>
              <a:latin typeface="Times New Roman" pitchFamily="18" charset="0"/>
              <a:cs typeface="Times New Roman" pitchFamily="18" charset="0"/>
            </a:rPr>
            <a:t> years</a:t>
          </a:r>
        </a:p>
        <a:p>
          <a:pPr algn="ctr"/>
          <a:endParaRPr lang="en-US" sz="1050">
            <a:solidFill>
              <a:srgbClr val="002060"/>
            </a:solidFill>
            <a:latin typeface="Times New Roman" pitchFamily="18" charset="0"/>
            <a:cs typeface="Times New Roman" pitchFamily="18" charset="0"/>
          </a:endParaRPr>
        </a:p>
      </dgm:t>
    </dgm:pt>
    <dgm:pt modelId="{E58AFDC5-AD54-44E2-8752-CFD04CB69CB1}" type="parTrans" cxnId="{F6F185BE-242B-434C-84F3-574E6A443091}">
      <dgm:prSet/>
      <dgm:spPr/>
      <dgm:t>
        <a:bodyPr/>
        <a:lstStyle/>
        <a:p>
          <a:endParaRPr lang="en-US"/>
        </a:p>
      </dgm:t>
    </dgm:pt>
    <dgm:pt modelId="{F0B24C14-51C0-436A-869C-4DB53241F591}" type="sibTrans" cxnId="{F6F185BE-242B-434C-84F3-574E6A443091}">
      <dgm:prSet/>
      <dgm:spPr/>
      <dgm:t>
        <a:bodyPr/>
        <a:lstStyle/>
        <a:p>
          <a:endParaRPr lang="en-US"/>
        </a:p>
      </dgm:t>
    </dgm:pt>
    <dgm:pt modelId="{C4192082-3BD5-4C3C-97A1-21AF6FA6B885}">
      <dgm:prSet custT="1"/>
      <dgm:spPr>
        <a:solidFill>
          <a:schemeClr val="accent6">
            <a:lumMod val="40000"/>
            <a:lumOff val="6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for marriage for males in  West Bank ( in Gaza 18 years old Hijri Calender)</a:t>
          </a:r>
        </a:p>
      </dgm:t>
    </dgm:pt>
    <dgm:pt modelId="{FEB7A54E-C125-4A3F-BD79-2155690E41B1}" type="parTrans" cxnId="{38C9E7E5-DFB7-47BD-B559-A76E8A338F9D}">
      <dgm:prSet/>
      <dgm:spPr/>
      <dgm:t>
        <a:bodyPr/>
        <a:lstStyle/>
        <a:p>
          <a:endParaRPr lang="en-US"/>
        </a:p>
      </dgm:t>
    </dgm:pt>
    <dgm:pt modelId="{9F2AF539-ED73-4DF9-B3F6-EEE10C85E15E}" type="sibTrans" cxnId="{38C9E7E5-DFB7-47BD-B559-A76E8A338F9D}">
      <dgm:prSet/>
      <dgm:spPr/>
      <dgm:t>
        <a:bodyPr/>
        <a:lstStyle/>
        <a:p>
          <a:endParaRPr lang="en-US"/>
        </a:p>
      </dgm:t>
    </dgm:pt>
    <dgm:pt modelId="{C381798F-12EB-4837-85D7-65F938C4A581}">
      <dgm:prSet phldrT="[Text]" custT="1"/>
      <dgm:spPr>
        <a:solidFill>
          <a:srgbClr val="FFFF00"/>
        </a:solidFill>
      </dgm:spPr>
      <dgm:t>
        <a:bodyPr/>
        <a:lstStyle/>
        <a:p>
          <a:pPr algn="l" rtl="0"/>
          <a:r>
            <a:rPr lang="en-US" sz="1050" baseline="0">
              <a:solidFill>
                <a:sysClr val="windowText" lastClr="000000"/>
              </a:solidFill>
              <a:latin typeface="Times New Roman" pitchFamily="18" charset="0"/>
              <a:cs typeface="+mj-cs"/>
            </a:rPr>
            <a:t>End of  compulsory basic </a:t>
          </a:r>
          <a:r>
            <a:rPr lang="en-US" sz="1100" baseline="0">
              <a:solidFill>
                <a:sysClr val="windowText" lastClr="000000"/>
              </a:solidFill>
              <a:latin typeface="Times New Roman" pitchFamily="18" charset="0"/>
              <a:cs typeface="+mj-cs"/>
            </a:rPr>
            <a:t>education</a:t>
          </a:r>
        </a:p>
      </dgm:t>
    </dgm:pt>
    <dgm:pt modelId="{54EDD84D-5665-4737-A7D0-6502AA162DCD}">
      <dgm:prSet phldrT="[Text]" custT="1"/>
      <dgm:spPr>
        <a:solidFill>
          <a:srgbClr val="FFFF00"/>
        </a:solidFill>
      </dgm:spPr>
      <dgm:t>
        <a:bodyPr/>
        <a:lstStyle/>
        <a:p>
          <a:pPr algn="l" rtl="0"/>
          <a:r>
            <a:rPr lang="en-US" sz="1050">
              <a:solidFill>
                <a:sysClr val="windowText" lastClr="000000"/>
              </a:solidFill>
              <a:latin typeface="Times New Roman" pitchFamily="18" charset="0"/>
              <a:cs typeface="+mj-cs"/>
            </a:rPr>
            <a:t>Minimum age for marriage for females in  West Bank (in Gaza 17 years </a:t>
          </a:r>
          <a:r>
            <a:rPr lang="en-US" sz="1050">
              <a:solidFill>
                <a:sysClr val="windowText" lastClr="000000"/>
              </a:solidFill>
              <a:latin typeface="Times New Roman" pitchFamily="18" charset="0"/>
              <a:cs typeface="Times New Roman" pitchFamily="18" charset="0"/>
            </a:rPr>
            <a:t>Hijri Calender</a:t>
          </a:r>
          <a:r>
            <a:rPr lang="en-US" sz="1050">
              <a:solidFill>
                <a:sysClr val="windowText" lastClr="000000"/>
              </a:solidFill>
              <a:latin typeface="Times New Roman" pitchFamily="18" charset="0"/>
              <a:cs typeface="+mj-cs"/>
            </a:rPr>
            <a:t>) </a:t>
          </a:r>
        </a:p>
      </dgm:t>
    </dgm:pt>
    <dgm:pt modelId="{6A9897AC-5367-4E34-A125-A60E4D200EC6}">
      <dgm:prSet phldrT="[Text]" custT="1"/>
      <dgm:spPr>
        <a:solidFill>
          <a:srgbClr val="FFFF00"/>
        </a:solidFill>
      </dgm:spPr>
      <dgm:t>
        <a:bodyPr/>
        <a:lstStyle/>
        <a:p>
          <a:pPr algn="l" rtl="0"/>
          <a:r>
            <a:rPr lang="en-US" sz="1050">
              <a:solidFill>
                <a:sysClr val="windowText" lastClr="000000"/>
              </a:solidFill>
              <a:latin typeface="Times New Roman" pitchFamily="18" charset="0"/>
              <a:cs typeface="+mj-cs"/>
            </a:rPr>
            <a:t>Minimum age to testify in court</a:t>
          </a:r>
        </a:p>
      </dgm:t>
    </dgm:pt>
    <dgm:pt modelId="{F1DEF6D8-AA8F-4BF8-B96C-1C21C82BC97F}">
      <dgm:prSet phldrT="[Text]" custT="1"/>
      <dgm:spPr>
        <a:solidFill>
          <a:srgbClr val="FFFF00"/>
        </a:solidFill>
      </dgm:spPr>
      <dgm:t>
        <a:bodyPr/>
        <a:lstStyle/>
        <a:p>
          <a:pPr algn="l" rtl="0"/>
          <a:r>
            <a:rPr lang="en-US" sz="1050">
              <a:solidFill>
                <a:sysClr val="windowText" lastClr="000000"/>
              </a:solidFill>
              <a:latin typeface="Times New Roman" pitchFamily="18" charset="0"/>
              <a:cs typeface="+mj-cs"/>
            </a:rPr>
            <a:t>Minimum age to join labor market</a:t>
          </a:r>
        </a:p>
      </dgm:t>
    </dgm:pt>
    <dgm:pt modelId="{E53519BF-0E2B-4A78-BEC0-CC7E230BB726}" type="sibTrans" cxnId="{40FE6D14-7D08-42FF-B7AA-5E9677A2E1BA}">
      <dgm:prSet/>
      <dgm:spPr/>
      <dgm:t>
        <a:bodyPr/>
        <a:lstStyle/>
        <a:p>
          <a:endParaRPr lang="en-US"/>
        </a:p>
      </dgm:t>
    </dgm:pt>
    <dgm:pt modelId="{D903AFC8-C36E-4885-B1B3-11ED87D15E80}" type="parTrans" cxnId="{40FE6D14-7D08-42FF-B7AA-5E9677A2E1BA}">
      <dgm:prSet/>
      <dgm:spPr/>
      <dgm:t>
        <a:bodyPr/>
        <a:lstStyle/>
        <a:p>
          <a:endParaRPr lang="en-US"/>
        </a:p>
      </dgm:t>
    </dgm:pt>
    <dgm:pt modelId="{43C040E8-86D7-40BE-AB0E-1B333099FC3D}" type="sibTrans" cxnId="{3438398F-A39B-49B3-965E-E58B3D187E6E}">
      <dgm:prSet/>
      <dgm:spPr/>
      <dgm:t>
        <a:bodyPr/>
        <a:lstStyle/>
        <a:p>
          <a:endParaRPr lang="en-US"/>
        </a:p>
      </dgm:t>
    </dgm:pt>
    <dgm:pt modelId="{0DD0420D-5CD0-44D7-BE6B-408C2D5D612A}" type="parTrans" cxnId="{3438398F-A39B-49B3-965E-E58B3D187E6E}">
      <dgm:prSet/>
      <dgm:spPr/>
      <dgm:t>
        <a:bodyPr/>
        <a:lstStyle/>
        <a:p>
          <a:endParaRPr lang="en-US"/>
        </a:p>
      </dgm:t>
    </dgm:pt>
    <dgm:pt modelId="{4C7EBD50-EE7E-4B57-9945-F1D4127C11C9}" type="sibTrans" cxnId="{EA1B8B7E-EF84-403B-A6FE-FED0F3CC9DB7}">
      <dgm:prSet/>
      <dgm:spPr/>
      <dgm:t>
        <a:bodyPr/>
        <a:lstStyle/>
        <a:p>
          <a:endParaRPr lang="en-US"/>
        </a:p>
      </dgm:t>
    </dgm:pt>
    <dgm:pt modelId="{E665C13F-948C-4D93-A6F6-199CF7FB46E9}" type="parTrans" cxnId="{EA1B8B7E-EF84-403B-A6FE-FED0F3CC9DB7}">
      <dgm:prSet/>
      <dgm:spPr/>
      <dgm:t>
        <a:bodyPr/>
        <a:lstStyle/>
        <a:p>
          <a:endParaRPr lang="en-US"/>
        </a:p>
      </dgm:t>
    </dgm:pt>
    <dgm:pt modelId="{C1255F22-EDF9-4900-9B7A-ED478E3CDA46}">
      <dgm:prSet phldrT="[Text]" custT="1"/>
      <dgm:spPr>
        <a:solidFill>
          <a:srgbClr val="FFFF00"/>
        </a:solidFill>
      </dgm:spPr>
      <dgm:t>
        <a:bodyPr/>
        <a:lstStyle/>
        <a:p>
          <a:pPr algn="ctr"/>
          <a:r>
            <a:rPr lang="en-US" sz="1050">
              <a:solidFill>
                <a:srgbClr val="002060"/>
              </a:solidFill>
              <a:latin typeface="Times New Roman" pitchFamily="18" charset="0"/>
              <a:cs typeface="+mj-cs"/>
            </a:rPr>
            <a:t>15 years</a:t>
          </a:r>
        </a:p>
      </dgm:t>
    </dgm:pt>
    <dgm:pt modelId="{0270F38F-8995-42DD-B768-DF888181F123}" type="sibTrans" cxnId="{68B597A2-7493-41A3-85B4-BAA2ABB65E07}">
      <dgm:prSet/>
      <dgm:spPr/>
      <dgm:t>
        <a:bodyPr/>
        <a:lstStyle/>
        <a:p>
          <a:endParaRPr lang="en-US"/>
        </a:p>
      </dgm:t>
    </dgm:pt>
    <dgm:pt modelId="{8132E5F1-1E39-44D0-A201-7290D1A53C28}" type="parTrans" cxnId="{68B597A2-7493-41A3-85B4-BAA2ABB65E07}">
      <dgm:prSet/>
      <dgm:spPr/>
      <dgm:t>
        <a:bodyPr/>
        <a:lstStyle/>
        <a:p>
          <a:endParaRPr lang="en-US"/>
        </a:p>
      </dgm:t>
    </dgm:pt>
    <dgm:pt modelId="{83129176-D286-44C1-882E-8951212A95B0}" type="sibTrans" cxnId="{131ECCE8-48C1-418B-BC18-3CDF288349B7}">
      <dgm:prSet/>
      <dgm:spPr/>
      <dgm:t>
        <a:bodyPr/>
        <a:lstStyle/>
        <a:p>
          <a:endParaRPr lang="en-US"/>
        </a:p>
      </dgm:t>
    </dgm:pt>
    <dgm:pt modelId="{DD7DF29E-806F-4A5F-B2D8-C7BB3AFBAF92}" type="parTrans" cxnId="{131ECCE8-48C1-418B-BC18-3CDF288349B7}">
      <dgm:prSet/>
      <dgm:spPr/>
      <dgm:t>
        <a:bodyPr/>
        <a:lstStyle/>
        <a:p>
          <a:endParaRPr lang="en-US"/>
        </a:p>
      </dgm:t>
    </dgm:pt>
    <dgm:pt modelId="{5F8EA924-21D3-4890-9370-7CFCE4B1274D}">
      <dgm:prSet custT="1"/>
      <dgm:spPr>
        <a:solidFill>
          <a:schemeClr val="accent4">
            <a:lumMod val="40000"/>
            <a:lumOff val="6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of criminal responsibility and eligibility to go to court</a:t>
          </a:r>
        </a:p>
      </dgm:t>
    </dgm:pt>
    <dgm:pt modelId="{DE93709E-EC75-48C8-B099-245E4F8BCF3D}">
      <dgm:prSet custT="1"/>
      <dgm:spPr>
        <a:solidFill>
          <a:schemeClr val="accent4">
            <a:lumMod val="40000"/>
            <a:lumOff val="60000"/>
          </a:schemeClr>
        </a:solidFill>
      </dgm:spPr>
      <dgm:t>
        <a:bodyPr/>
        <a:lstStyle/>
        <a:p>
          <a:pPr algn="ctr"/>
          <a:r>
            <a:rPr lang="ar-SA" sz="1050">
              <a:solidFill>
                <a:srgbClr val="002060"/>
              </a:solidFill>
              <a:latin typeface="Times New Roman" pitchFamily="18" charset="0"/>
              <a:cs typeface="Times New Roman" pitchFamily="18" charset="0"/>
            </a:rPr>
            <a:t>12</a:t>
          </a:r>
          <a:r>
            <a:rPr lang="en-US" sz="1050">
              <a:solidFill>
                <a:srgbClr val="002060"/>
              </a:solidFill>
              <a:latin typeface="Times New Roman" pitchFamily="18" charset="0"/>
              <a:cs typeface="Times New Roman" pitchFamily="18" charset="0"/>
            </a:rPr>
            <a:t> years</a:t>
          </a:r>
        </a:p>
        <a:p>
          <a:pPr algn="ctr"/>
          <a:endParaRPr lang="en-US" sz="1050">
            <a:solidFill>
              <a:srgbClr val="002060"/>
            </a:solidFill>
            <a:latin typeface="Times New Roman" pitchFamily="18" charset="0"/>
            <a:cs typeface="Times New Roman" pitchFamily="18" charset="0"/>
          </a:endParaRPr>
        </a:p>
      </dgm:t>
    </dgm:pt>
    <dgm:pt modelId="{8A0E1964-B7E5-4647-A2CB-61A867EA6827}" type="sibTrans" cxnId="{C0F40850-76B1-42D5-BD1B-D48F85F0D29F}">
      <dgm:prSet/>
      <dgm:spPr/>
      <dgm:t>
        <a:bodyPr/>
        <a:lstStyle/>
        <a:p>
          <a:endParaRPr lang="en-US"/>
        </a:p>
      </dgm:t>
    </dgm:pt>
    <dgm:pt modelId="{C1189C34-9EB3-42D0-87ED-756E55A5A06C}" type="parTrans" cxnId="{C0F40850-76B1-42D5-BD1B-D48F85F0D29F}">
      <dgm:prSet/>
      <dgm:spPr/>
      <dgm:t>
        <a:bodyPr/>
        <a:lstStyle/>
        <a:p>
          <a:endParaRPr lang="en-US"/>
        </a:p>
      </dgm:t>
    </dgm:pt>
    <dgm:pt modelId="{62B6C042-9098-4A92-962F-C3E5FA4059C0}" type="sibTrans" cxnId="{A92EA237-9EDE-468C-9BE6-8CF86DA3B30E}">
      <dgm:prSet/>
      <dgm:spPr/>
      <dgm:t>
        <a:bodyPr/>
        <a:lstStyle/>
        <a:p>
          <a:endParaRPr lang="en-US"/>
        </a:p>
      </dgm:t>
    </dgm:pt>
    <dgm:pt modelId="{952CDFB2-12D3-4B6B-B4FD-6B97AD4F7EFF}" type="parTrans" cxnId="{A92EA237-9EDE-468C-9BE6-8CF86DA3B30E}">
      <dgm:prSet/>
      <dgm:spPr/>
      <dgm:t>
        <a:bodyPr/>
        <a:lstStyle/>
        <a:p>
          <a:endParaRPr lang="en-US"/>
        </a:p>
      </dgm:t>
    </dgm:pt>
    <dgm:pt modelId="{05C9FC9A-B1FE-4BCC-B1DA-97A0595CDDBE}">
      <dgm:prSet phldrT="[Text]"/>
      <dgm:spPr>
        <a:solidFill>
          <a:schemeClr val="accent2">
            <a:lumMod val="40000"/>
            <a:lumOff val="60000"/>
          </a:schemeClr>
        </a:solidFill>
      </dgm:spPr>
      <dgm:t>
        <a:bodyPr/>
        <a:lstStyle/>
        <a:p>
          <a:pPr algn="l"/>
          <a:endParaRPr lang="en-US" sz="1500">
            <a:solidFill>
              <a:srgbClr val="002060"/>
            </a:solidFill>
          </a:endParaRPr>
        </a:p>
      </dgm:t>
    </dgm:pt>
    <dgm:pt modelId="{0256D28E-8B69-4859-AC68-2E081F640287}">
      <dgm:prSet phldrT="[Text]" custT="1"/>
      <dgm:spPr>
        <a:solidFill>
          <a:schemeClr val="accent2">
            <a:lumMod val="40000"/>
            <a:lumOff val="60000"/>
          </a:schemeClr>
        </a:solidFill>
      </dgm:spPr>
      <dgm:t>
        <a:bodyPr/>
        <a:lstStyle/>
        <a:p>
          <a:pPr algn="ctr"/>
          <a:r>
            <a:rPr lang="en-US" sz="1050">
              <a:solidFill>
                <a:srgbClr val="002060"/>
              </a:solidFill>
              <a:latin typeface="Times New Roman" pitchFamily="18" charset="0"/>
              <a:cs typeface="+mj-cs"/>
            </a:rPr>
            <a:t>6 years</a:t>
          </a:r>
        </a:p>
        <a:p>
          <a:pPr algn="ctr"/>
          <a:endParaRPr lang="en-US" sz="1050">
            <a:solidFill>
              <a:srgbClr val="002060"/>
            </a:solidFill>
            <a:latin typeface="Times New Roman" pitchFamily="18" charset="0"/>
            <a:cs typeface="+mj-cs"/>
          </a:endParaRPr>
        </a:p>
        <a:p>
          <a:pPr algn="l" rtl="0"/>
          <a:r>
            <a:rPr lang="en-US" sz="1050">
              <a:solidFill>
                <a:srgbClr val="002060"/>
              </a:solidFill>
              <a:latin typeface="Times New Roman"/>
              <a:cs typeface="Times New Roman"/>
            </a:rPr>
            <a:t>• </a:t>
          </a:r>
          <a:r>
            <a:rPr lang="en-US" sz="1050">
              <a:solidFill>
                <a:sysClr val="windowText" lastClr="000000"/>
              </a:solidFill>
              <a:cs typeface="+mj-cs"/>
            </a:rPr>
            <a:t>F</a:t>
          </a:r>
          <a:r>
            <a:rPr lang="en-US" sz="1050">
              <a:solidFill>
                <a:sysClr val="windowText" lastClr="000000"/>
              </a:solidFill>
              <a:latin typeface="Times New Roman" pitchFamily="18" charset="0"/>
              <a:cs typeface="+mj-cs"/>
            </a:rPr>
            <a:t>ree health services up to age of six years</a:t>
          </a:r>
        </a:p>
        <a:p>
          <a:pPr algn="l"/>
          <a:endParaRPr lang="en-US" sz="1050">
            <a:solidFill>
              <a:srgbClr val="002060"/>
            </a:solidFill>
            <a:latin typeface="Times New Roman" pitchFamily="18" charset="0"/>
            <a:cs typeface="+mj-cs"/>
          </a:endParaRPr>
        </a:p>
        <a:p>
          <a:pPr algn="l" rtl="0"/>
          <a:r>
            <a:rPr lang="en-US" sz="1050">
              <a:solidFill>
                <a:srgbClr val="002060"/>
              </a:solidFill>
              <a:latin typeface="Times New Roman"/>
              <a:cs typeface="Times New Roman"/>
            </a:rPr>
            <a:t>• </a:t>
          </a:r>
          <a:r>
            <a:rPr lang="en-US" sz="1050">
              <a:solidFill>
                <a:sysClr val="windowText" lastClr="000000"/>
              </a:solidFill>
              <a:latin typeface="Times New Roman" pitchFamily="18" charset="0"/>
              <a:cs typeface="+mj-cs"/>
            </a:rPr>
            <a:t>Beginning of the age of compulsory  basic education</a:t>
          </a:r>
        </a:p>
      </dgm:t>
    </dgm:pt>
    <dgm:pt modelId="{F92A7C07-4921-4156-8559-04F7BBC9F576}" type="sibTrans" cxnId="{F177B3F5-A154-46D2-991E-930DA626FFA3}">
      <dgm:prSet/>
      <dgm:spPr/>
      <dgm:t>
        <a:bodyPr/>
        <a:lstStyle/>
        <a:p>
          <a:endParaRPr lang="en-US"/>
        </a:p>
      </dgm:t>
    </dgm:pt>
    <dgm:pt modelId="{9A6DED02-BAD6-40DA-9F88-D6F6837FA5DA}" type="parTrans" cxnId="{F177B3F5-A154-46D2-991E-930DA626FFA3}">
      <dgm:prSet/>
      <dgm:spPr/>
      <dgm:t>
        <a:bodyPr/>
        <a:lstStyle/>
        <a:p>
          <a:endParaRPr lang="en-US"/>
        </a:p>
      </dgm:t>
    </dgm:pt>
    <dgm:pt modelId="{BEF9523F-52DC-45E6-BFEE-E766A3A5BFFC}" type="sibTrans" cxnId="{7882F4F9-C812-47AE-81DC-5F0C9350F09E}">
      <dgm:prSet/>
      <dgm:spPr/>
      <dgm:t>
        <a:bodyPr/>
        <a:lstStyle/>
        <a:p>
          <a:endParaRPr lang="en-US"/>
        </a:p>
      </dgm:t>
    </dgm:pt>
    <dgm:pt modelId="{EB9CDC57-0F8B-4C29-B738-8E292E214ABA}" type="parTrans" cxnId="{7882F4F9-C812-47AE-81DC-5F0C9350F09E}">
      <dgm:prSet/>
      <dgm:spPr/>
      <dgm:t>
        <a:bodyPr/>
        <a:lstStyle/>
        <a:p>
          <a:endParaRPr lang="en-US"/>
        </a:p>
      </dgm:t>
    </dgm:pt>
    <dgm:pt modelId="{E90902DF-F485-49D1-B1DE-D0C74667F4E4}">
      <dgm:prSet custT="1"/>
      <dgm:spPr>
        <a:solidFill>
          <a:schemeClr val="accent6">
            <a:lumMod val="40000"/>
            <a:lumOff val="6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to access  inherited funds</a:t>
          </a:r>
        </a:p>
      </dgm:t>
    </dgm:pt>
    <dgm:pt modelId="{ECC6DF59-FBB1-4557-9EB0-B5F325834535}" type="parTrans" cxnId="{825200B9-BE48-4C45-AFDC-7129DFBD9916}">
      <dgm:prSet/>
      <dgm:spPr/>
      <dgm:t>
        <a:bodyPr/>
        <a:lstStyle/>
        <a:p>
          <a:endParaRPr lang="en-US"/>
        </a:p>
      </dgm:t>
    </dgm:pt>
    <dgm:pt modelId="{3A4E4173-FF13-4D27-9146-E3515D2611BE}" type="sibTrans" cxnId="{825200B9-BE48-4C45-AFDC-7129DFBD9916}">
      <dgm:prSet/>
      <dgm:spPr/>
      <dgm:t>
        <a:bodyPr/>
        <a:lstStyle/>
        <a:p>
          <a:endParaRPr lang="en-US"/>
        </a:p>
      </dgm:t>
    </dgm:pt>
    <dgm:pt modelId="{91443165-E9D5-4B96-94B1-BA37BE807C89}">
      <dgm:prSet custT="1"/>
      <dgm:spPr>
        <a:solidFill>
          <a:schemeClr val="accent3">
            <a:lumMod val="60000"/>
            <a:lumOff val="40000"/>
          </a:schemeClr>
        </a:solidFill>
      </dgm:spPr>
      <dgm:t>
        <a:bodyPr/>
        <a:lstStyle/>
        <a:p>
          <a:pPr algn="ctr"/>
          <a:r>
            <a:rPr lang="en-US" sz="1050">
              <a:solidFill>
                <a:srgbClr val="002060"/>
              </a:solidFill>
              <a:latin typeface="Times New Roman" pitchFamily="18" charset="0"/>
              <a:cs typeface="Times New Roman" pitchFamily="18" charset="0"/>
            </a:rPr>
            <a:t>18 years</a:t>
          </a:r>
        </a:p>
        <a:p>
          <a:pPr algn="l" rtl="0"/>
          <a:r>
            <a:rPr lang="en-US" sz="1050">
              <a:solidFill>
                <a:sysClr val="windowText" lastClr="000000"/>
              </a:solidFill>
              <a:latin typeface="Times New Roman" pitchFamily="18" charset="0"/>
              <a:cs typeface="Times New Roman" pitchFamily="18" charset="0"/>
            </a:rPr>
            <a:t>Minimum age for voting in general / local elections</a:t>
          </a:r>
        </a:p>
      </dgm:t>
    </dgm:pt>
    <dgm:pt modelId="{29C0165F-E481-4B47-AD05-C4E41BF284E4}" type="sibTrans" cxnId="{A00B754D-5395-4D3A-B3FA-B470868F0002}">
      <dgm:prSet/>
      <dgm:spPr/>
      <dgm:t>
        <a:bodyPr/>
        <a:lstStyle/>
        <a:p>
          <a:endParaRPr lang="en-US"/>
        </a:p>
      </dgm:t>
    </dgm:pt>
    <dgm:pt modelId="{48809B34-05F7-49F7-B415-AC713B56068F}" type="parTrans" cxnId="{A00B754D-5395-4D3A-B3FA-B470868F0002}">
      <dgm:prSet/>
      <dgm:spPr/>
      <dgm:t>
        <a:bodyPr/>
        <a:lstStyle/>
        <a:p>
          <a:endParaRPr lang="en-US"/>
        </a:p>
      </dgm:t>
    </dgm:pt>
    <dgm:pt modelId="{99716A23-9057-4999-BB76-E088A231D0B4}">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Full rights as an adult</a:t>
          </a:r>
        </a:p>
      </dgm:t>
    </dgm:pt>
    <dgm:pt modelId="{68608084-DA5E-496B-9AB2-32367AE0BC37}" type="sibTrans" cxnId="{603857AD-3A25-4D7E-A9B4-A0AE894D2BA6}">
      <dgm:prSet/>
      <dgm:spPr/>
      <dgm:t>
        <a:bodyPr/>
        <a:lstStyle/>
        <a:p>
          <a:endParaRPr lang="en-US"/>
        </a:p>
      </dgm:t>
    </dgm:pt>
    <dgm:pt modelId="{21BF97F3-1CDC-4820-806C-9EEBA5A50C47}" type="parTrans" cxnId="{603857AD-3A25-4D7E-A9B4-A0AE894D2BA6}">
      <dgm:prSet/>
      <dgm:spPr/>
      <dgm:t>
        <a:bodyPr/>
        <a:lstStyle/>
        <a:p>
          <a:endParaRPr lang="en-US"/>
        </a:p>
      </dgm:t>
    </dgm:pt>
    <dgm:pt modelId="{D38320D7-AE85-4E2D-B966-EB9C6D27B2F3}">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to obtain a driver's license</a:t>
          </a:r>
        </a:p>
      </dgm:t>
    </dgm:pt>
    <dgm:pt modelId="{56AECDA9-624E-4D26-85E2-C52D5D3408D4}" type="sibTrans" cxnId="{408C9C50-CA72-4851-B794-0D16F7D085F1}">
      <dgm:prSet/>
      <dgm:spPr/>
      <dgm:t>
        <a:bodyPr/>
        <a:lstStyle/>
        <a:p>
          <a:pPr rtl="1"/>
          <a:endParaRPr lang="ar-SA"/>
        </a:p>
      </dgm:t>
    </dgm:pt>
    <dgm:pt modelId="{731B97D3-654D-4F5F-84C2-6B14B5339806}" type="parTrans" cxnId="{408C9C50-CA72-4851-B794-0D16F7D085F1}">
      <dgm:prSet/>
      <dgm:spPr/>
      <dgm:t>
        <a:bodyPr/>
        <a:lstStyle/>
        <a:p>
          <a:pPr rtl="1"/>
          <a:endParaRPr lang="ar-SA"/>
        </a:p>
      </dgm:t>
    </dgm:pt>
    <dgm:pt modelId="{2A4F03BB-0989-4D4B-B919-C4C9AD40A7A3}">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to buy cigarettes and alcohol</a:t>
          </a:r>
        </a:p>
      </dgm:t>
    </dgm:pt>
    <dgm:pt modelId="{FC775FA2-0E20-443E-A9C2-3391F0892C0C}" type="sibTrans" cxnId="{F6C4ED67-E990-454B-A96B-A68C11D22373}">
      <dgm:prSet/>
      <dgm:spPr/>
      <dgm:t>
        <a:bodyPr/>
        <a:lstStyle/>
        <a:p>
          <a:endParaRPr lang="en-US"/>
        </a:p>
      </dgm:t>
    </dgm:pt>
    <dgm:pt modelId="{4772C8AA-46BA-4331-8680-F1FCDE393B34}" type="parTrans" cxnId="{F6C4ED67-E990-454B-A96B-A68C11D22373}">
      <dgm:prSet/>
      <dgm:spPr/>
      <dgm:t>
        <a:bodyPr/>
        <a:lstStyle/>
        <a:p>
          <a:endParaRPr lang="en-US"/>
        </a:p>
      </dgm:t>
    </dgm:pt>
    <dgm:pt modelId="{06B843DD-DE25-4E45-84C2-8B6A66B52FB4}">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for forming  associations</a:t>
          </a:r>
        </a:p>
      </dgm:t>
    </dgm:pt>
    <dgm:pt modelId="{422A7C02-A3AE-44C4-B18C-6E366AC8E125}" type="sibTrans" cxnId="{DC479959-03F0-4F99-A897-3FBD2E855AF7}">
      <dgm:prSet/>
      <dgm:spPr/>
      <dgm:t>
        <a:bodyPr/>
        <a:lstStyle/>
        <a:p>
          <a:endParaRPr lang="en-US"/>
        </a:p>
      </dgm:t>
    </dgm:pt>
    <dgm:pt modelId="{3FF148CB-779B-4D7A-8628-165626D83254}" type="parTrans" cxnId="{DC479959-03F0-4F99-A897-3FBD2E855AF7}">
      <dgm:prSet/>
      <dgm:spPr/>
      <dgm:t>
        <a:bodyPr/>
        <a:lstStyle/>
        <a:p>
          <a:endParaRPr lang="en-US"/>
        </a:p>
      </dgm:t>
    </dgm:pt>
    <dgm:pt modelId="{4AC63578-56AD-4847-9E10-15804FC0C15F}">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for military recruitment</a:t>
          </a:r>
        </a:p>
      </dgm:t>
    </dgm:pt>
    <dgm:pt modelId="{46659803-FD19-4B89-BE1D-A317459F028B}" type="sibTrans" cxnId="{A1BBDDEF-F632-48AE-9DD8-BE1D456F32FD}">
      <dgm:prSet/>
      <dgm:spPr/>
      <dgm:t>
        <a:bodyPr/>
        <a:lstStyle/>
        <a:p>
          <a:endParaRPr lang="en-US"/>
        </a:p>
      </dgm:t>
    </dgm:pt>
    <dgm:pt modelId="{60AB3E22-DA67-4538-AA66-CFE91015D52E}" type="parTrans" cxnId="{A1BBDDEF-F632-48AE-9DD8-BE1D456F32FD}">
      <dgm:prSet/>
      <dgm:spPr/>
      <dgm:t>
        <a:bodyPr/>
        <a:lstStyle/>
        <a:p>
          <a:endParaRPr lang="en-US"/>
        </a:p>
      </dgm:t>
    </dgm:pt>
    <dgm:pt modelId="{37B0ABD9-65F0-424E-B8A8-39388E0279AC}">
      <dgm:prSet phldrT="[Text]" custT="1"/>
      <dgm:spPr/>
      <dgm:t>
        <a:bodyPr/>
        <a:lstStyle/>
        <a:p>
          <a:r>
            <a:rPr lang="en-US" sz="1100" baseline="0">
              <a:solidFill>
                <a:sysClr val="windowText" lastClr="000000"/>
              </a:solidFill>
              <a:latin typeface="Times New Roman" pitchFamily="18" charset="0"/>
              <a:cs typeface="+mj-cs"/>
            </a:rPr>
            <a:t>The Legal Age</a:t>
          </a:r>
        </a:p>
      </dgm:t>
    </dgm:pt>
    <dgm:pt modelId="{CAE24130-A97B-43A8-BF9C-BFAA9491FF19}" type="sibTrans" cxnId="{CEA03807-AB65-4F91-A84B-301205A5171A}">
      <dgm:prSet/>
      <dgm:spPr/>
      <dgm:t>
        <a:bodyPr/>
        <a:lstStyle/>
        <a:p>
          <a:endParaRPr lang="en-US"/>
        </a:p>
      </dgm:t>
    </dgm:pt>
    <dgm:pt modelId="{B0D27639-7E24-4C77-A5EF-2A08D0D3C815}" type="parTrans" cxnId="{CEA03807-AB65-4F91-A84B-301205A5171A}">
      <dgm:prSet/>
      <dgm:spPr/>
      <dgm:t>
        <a:bodyPr/>
        <a:lstStyle/>
        <a:p>
          <a:endParaRPr lang="en-US"/>
        </a:p>
      </dgm:t>
    </dgm:pt>
    <dgm:pt modelId="{D7631531-80B8-4343-BB5D-96E1FE9C46B0}" type="pres">
      <dgm:prSet presAssocID="{8C72B2AE-2562-470F-AAB3-13CF26E5713D}" presName="composite" presStyleCnt="0">
        <dgm:presLayoutVars>
          <dgm:chMax val="1"/>
          <dgm:dir/>
          <dgm:resizeHandles val="exact"/>
        </dgm:presLayoutVars>
      </dgm:prSet>
      <dgm:spPr/>
      <dgm:t>
        <a:bodyPr/>
        <a:lstStyle/>
        <a:p>
          <a:endParaRPr lang="en-US"/>
        </a:p>
      </dgm:t>
    </dgm:pt>
    <dgm:pt modelId="{A4C28722-9A06-4330-8C4E-8387D12989ED}" type="pres">
      <dgm:prSet presAssocID="{37B0ABD9-65F0-424E-B8A8-39388E0279AC}" presName="roof" presStyleLbl="dkBgShp" presStyleIdx="0" presStyleCnt="2" custAng="10800000" custFlipVert="1" custScaleY="25761" custLinFactY="100000" custLinFactNeighborY="177074"/>
      <dgm:spPr/>
      <dgm:t>
        <a:bodyPr/>
        <a:lstStyle/>
        <a:p>
          <a:endParaRPr lang="en-US"/>
        </a:p>
      </dgm:t>
    </dgm:pt>
    <dgm:pt modelId="{866780FA-44AE-4C1D-91CF-C554346D25C4}" type="pres">
      <dgm:prSet presAssocID="{37B0ABD9-65F0-424E-B8A8-39388E0279AC}" presName="pillars" presStyleCnt="0"/>
      <dgm:spPr/>
      <dgm:t>
        <a:bodyPr/>
        <a:lstStyle/>
        <a:p>
          <a:endParaRPr lang="en-US"/>
        </a:p>
      </dgm:t>
    </dgm:pt>
    <dgm:pt modelId="{41FC6F27-ABE0-4B79-84C5-D8CE17F9078C}" type="pres">
      <dgm:prSet presAssocID="{37B0ABD9-65F0-424E-B8A8-39388E0279AC}" presName="pillar1" presStyleLbl="node1" presStyleIdx="0" presStyleCnt="5" custScaleY="84308" custLinFactNeighborX="-306" custLinFactNeighborY="7441">
        <dgm:presLayoutVars>
          <dgm:bulletEnabled val="1"/>
        </dgm:presLayoutVars>
      </dgm:prSet>
      <dgm:spPr/>
      <dgm:t>
        <a:bodyPr/>
        <a:lstStyle/>
        <a:p>
          <a:endParaRPr lang="en-US"/>
        </a:p>
      </dgm:t>
    </dgm:pt>
    <dgm:pt modelId="{FCEA540D-1867-437E-AF1D-48BD2BF5695C}" type="pres">
      <dgm:prSet presAssocID="{DE93709E-EC75-48C8-B099-245E4F8BCF3D}" presName="pillarX" presStyleLbl="node1" presStyleIdx="1" presStyleCnt="5" custScaleY="98259" custLinFactNeighborX="-438" custLinFactNeighborY="1212">
        <dgm:presLayoutVars>
          <dgm:bulletEnabled val="1"/>
        </dgm:presLayoutVars>
      </dgm:prSet>
      <dgm:spPr/>
      <dgm:t>
        <a:bodyPr/>
        <a:lstStyle/>
        <a:p>
          <a:endParaRPr lang="en-US"/>
        </a:p>
      </dgm:t>
    </dgm:pt>
    <dgm:pt modelId="{0041BE44-3C59-4FA8-99E0-DD0F10BEC3DC}" type="pres">
      <dgm:prSet presAssocID="{C1255F22-EDF9-4900-9B7A-ED478E3CDA46}" presName="pillarX" presStyleLbl="node1" presStyleIdx="2" presStyleCnt="5" custScaleY="109171" custLinFactNeighborX="-3723" custLinFactNeighborY="-4937">
        <dgm:presLayoutVars>
          <dgm:bulletEnabled val="1"/>
        </dgm:presLayoutVars>
      </dgm:prSet>
      <dgm:spPr/>
      <dgm:t>
        <a:bodyPr/>
        <a:lstStyle/>
        <a:p>
          <a:endParaRPr lang="en-US"/>
        </a:p>
      </dgm:t>
    </dgm:pt>
    <dgm:pt modelId="{46D985C8-4534-490D-97CC-50D9817A3009}" type="pres">
      <dgm:prSet presAssocID="{73F84B7F-C9FB-49F7-A640-5BD36EB11B76}" presName="pillarX" presStyleLbl="node1" presStyleIdx="3" presStyleCnt="5" custScaleX="95121" custScaleY="119631" custLinFactNeighborX="-2137" custLinFactNeighborY="-10322">
        <dgm:presLayoutVars>
          <dgm:bulletEnabled val="1"/>
        </dgm:presLayoutVars>
      </dgm:prSet>
      <dgm:spPr/>
      <dgm:t>
        <a:bodyPr/>
        <a:lstStyle/>
        <a:p>
          <a:endParaRPr lang="en-US"/>
        </a:p>
      </dgm:t>
    </dgm:pt>
    <dgm:pt modelId="{FEB7EF2C-EEAB-4FA5-A9F3-32E6818326D7}" type="pres">
      <dgm:prSet presAssocID="{91443165-E9D5-4B96-94B1-BA37BE807C89}" presName="pillarX" presStyleLbl="node1" presStyleIdx="4" presStyleCnt="5" custScaleX="100734" custScaleY="126290" custLinFactNeighborX="306" custLinFactNeighborY="-13806">
        <dgm:presLayoutVars>
          <dgm:bulletEnabled val="1"/>
        </dgm:presLayoutVars>
      </dgm:prSet>
      <dgm:spPr/>
      <dgm:t>
        <a:bodyPr/>
        <a:lstStyle/>
        <a:p>
          <a:endParaRPr lang="en-US"/>
        </a:p>
      </dgm:t>
    </dgm:pt>
    <dgm:pt modelId="{2B4A5F56-0BA1-4DCE-852B-CEC560521A7D}" type="pres">
      <dgm:prSet presAssocID="{37B0ABD9-65F0-424E-B8A8-39388E0279AC}" presName="base" presStyleLbl="dkBgShp" presStyleIdx="1" presStyleCnt="2" custFlipVert="0" custScaleY="79706" custLinFactY="-600000" custLinFactNeighborY="-675156"/>
      <dgm:spPr>
        <a:blipFill rotWithShape="0">
          <a:blip xmlns:r="http://schemas.openxmlformats.org/officeDocument/2006/relationships" r:embed="rId1"/>
          <a:stretch>
            <a:fillRect/>
          </a:stretch>
        </a:blipFill>
      </dgm:spPr>
      <dgm:t>
        <a:bodyPr/>
        <a:lstStyle/>
        <a:p>
          <a:endParaRPr lang="en-US"/>
        </a:p>
      </dgm:t>
    </dgm:pt>
  </dgm:ptLst>
  <dgm:cxnLst>
    <dgm:cxn modelId="{603857AD-3A25-4D7E-A9B4-A0AE894D2BA6}" srcId="{91443165-E9D5-4B96-94B1-BA37BE807C89}" destId="{99716A23-9057-4999-BB76-E088A231D0B4}" srcOrd="4" destOrd="0" parTransId="{21BF97F3-1CDC-4820-806C-9EEBA5A50C47}" sibTransId="{68608084-DA5E-496B-9AB2-32367AE0BC37}"/>
    <dgm:cxn modelId="{CEA03807-AB65-4F91-A84B-301205A5171A}" srcId="{8C72B2AE-2562-470F-AAB3-13CF26E5713D}" destId="{37B0ABD9-65F0-424E-B8A8-39388E0279AC}" srcOrd="0" destOrd="0" parTransId="{B0D27639-7E24-4C77-A5EF-2A08D0D3C815}" sibTransId="{CAE24130-A97B-43A8-BF9C-BFAA9491FF19}"/>
    <dgm:cxn modelId="{3D47F645-4649-4DFF-8337-63E01D94A72C}" type="presOf" srcId="{6A9897AC-5367-4E34-A125-A60E4D200EC6}" destId="{0041BE44-3C59-4FA8-99E0-DD0F10BEC3DC}" srcOrd="0" destOrd="2" presId="urn:microsoft.com/office/officeart/2005/8/layout/hList3"/>
    <dgm:cxn modelId="{38C9E7E5-DFB7-47BD-B559-A76E8A338F9D}" srcId="{73F84B7F-C9FB-49F7-A640-5BD36EB11B76}" destId="{C4192082-3BD5-4C3C-97A1-21AF6FA6B885}" srcOrd="0" destOrd="0" parTransId="{FEB7A54E-C125-4A3F-BD79-2155690E41B1}" sibTransId="{9F2AF539-ED73-4DF9-B3F6-EEE10C85E15E}"/>
    <dgm:cxn modelId="{EA1B8B7E-EF84-403B-A6FE-FED0F3CC9DB7}" srcId="{F1DEF6D8-AA8F-4BF8-B96C-1C21C82BC97F}" destId="{6A9897AC-5367-4E34-A125-A60E4D200EC6}" srcOrd="0" destOrd="0" parTransId="{E665C13F-948C-4D93-A6F6-199CF7FB46E9}" sibTransId="{4C7EBD50-EE7E-4B57-9945-F1D4127C11C9}"/>
    <dgm:cxn modelId="{07C248C4-02EF-4B96-95E6-1834F74582DA}" type="presOf" srcId="{06B843DD-DE25-4E45-84C2-8B6A66B52FB4}" destId="{FEB7EF2C-EEAB-4FA5-A9F3-32E6818326D7}" srcOrd="0" destOrd="2" presId="urn:microsoft.com/office/officeart/2005/8/layout/hList3"/>
    <dgm:cxn modelId="{F6F185BE-242B-434C-84F3-574E6A443091}" srcId="{37B0ABD9-65F0-424E-B8A8-39388E0279AC}" destId="{73F84B7F-C9FB-49F7-A640-5BD36EB11B76}" srcOrd="3" destOrd="0" parTransId="{E58AFDC5-AD54-44E2-8752-CFD04CB69CB1}" sibTransId="{F0B24C14-51C0-436A-869C-4DB53241F591}"/>
    <dgm:cxn modelId="{B2D145F9-FE9A-44EE-B091-C2006BEB5B7A}" type="presOf" srcId="{73F84B7F-C9FB-49F7-A640-5BD36EB11B76}" destId="{46D985C8-4534-490D-97CC-50D9817A3009}" srcOrd="0" destOrd="0" presId="urn:microsoft.com/office/officeart/2005/8/layout/hList3"/>
    <dgm:cxn modelId="{825200B9-BE48-4C45-AFDC-7129DFBD9916}" srcId="{73F84B7F-C9FB-49F7-A640-5BD36EB11B76}" destId="{E90902DF-F485-49D1-B1DE-D0C74667F4E4}" srcOrd="1" destOrd="0" parTransId="{ECC6DF59-FBB1-4557-9EB0-B5F325834535}" sibTransId="{3A4E4173-FF13-4D27-9146-E3515D2611BE}"/>
    <dgm:cxn modelId="{C0F40850-76B1-42D5-BD1B-D48F85F0D29F}" srcId="{37B0ABD9-65F0-424E-B8A8-39388E0279AC}" destId="{DE93709E-EC75-48C8-B099-245E4F8BCF3D}" srcOrd="1" destOrd="0" parTransId="{C1189C34-9EB3-42D0-87ED-756E55A5A06C}" sibTransId="{8A0E1964-B7E5-4647-A2CB-61A867EA6827}"/>
    <dgm:cxn modelId="{A3C7687D-9F0C-4539-AE94-D7CD1F206FAE}" type="presOf" srcId="{8C72B2AE-2562-470F-AAB3-13CF26E5713D}" destId="{D7631531-80B8-4343-BB5D-96E1FE9C46B0}" srcOrd="0" destOrd="0" presId="urn:microsoft.com/office/officeart/2005/8/layout/hList3"/>
    <dgm:cxn modelId="{DC479959-03F0-4F99-A897-3FBD2E855AF7}" srcId="{91443165-E9D5-4B96-94B1-BA37BE807C89}" destId="{06B843DD-DE25-4E45-84C2-8B6A66B52FB4}" srcOrd="1" destOrd="0" parTransId="{3FF148CB-779B-4D7A-8628-165626D83254}" sibTransId="{422A7C02-A3AE-44C4-B18C-6E366AC8E125}"/>
    <dgm:cxn modelId="{30A9F7C1-8038-404A-8578-A1B258473BE3}" type="presOf" srcId="{E90902DF-F485-49D1-B1DE-D0C74667F4E4}" destId="{46D985C8-4534-490D-97CC-50D9817A3009}" srcOrd="0" destOrd="2" presId="urn:microsoft.com/office/officeart/2005/8/layout/hList3"/>
    <dgm:cxn modelId="{3438398F-A39B-49B3-965E-E58B3D187E6E}" srcId="{C1255F22-EDF9-4900-9B7A-ED478E3CDA46}" destId="{54EDD84D-5665-4737-A7D0-6502AA162DCD}" srcOrd="1" destOrd="0" parTransId="{0DD0420D-5CD0-44D7-BE6B-408C2D5D612A}" sibTransId="{43C040E8-86D7-40BE-AB0E-1B333099FC3D}"/>
    <dgm:cxn modelId="{A1BBDDEF-F632-48AE-9DD8-BE1D456F32FD}" srcId="{91443165-E9D5-4B96-94B1-BA37BE807C89}" destId="{4AC63578-56AD-4847-9E10-15804FC0C15F}" srcOrd="0" destOrd="0" parTransId="{60AB3E22-DA67-4538-AA66-CFE91015D52E}" sibTransId="{46659803-FD19-4B89-BE1D-A317459F028B}"/>
    <dgm:cxn modelId="{40FE6D14-7D08-42FF-B7AA-5E9677A2E1BA}" srcId="{54EDD84D-5665-4737-A7D0-6502AA162DCD}" destId="{C381798F-12EB-4837-85D7-65F938C4A581}" srcOrd="0" destOrd="0" parTransId="{D903AFC8-C36E-4885-B1B3-11ED87D15E80}" sibTransId="{E53519BF-0E2B-4A78-BEC0-CC7E230BB726}"/>
    <dgm:cxn modelId="{361BD801-C140-4000-86FA-B9F403C45A8A}" type="presOf" srcId="{0256D28E-8B69-4859-AC68-2E081F640287}" destId="{41FC6F27-ABE0-4B79-84C5-D8CE17F9078C}" srcOrd="0" destOrd="0" presId="urn:microsoft.com/office/officeart/2005/8/layout/hList3"/>
    <dgm:cxn modelId="{408C9C50-CA72-4851-B794-0D16F7D085F1}" srcId="{91443165-E9D5-4B96-94B1-BA37BE807C89}" destId="{D38320D7-AE85-4E2D-B966-EB9C6D27B2F3}" srcOrd="3" destOrd="0" parTransId="{731B97D3-654D-4F5F-84C2-6B14B5339806}" sibTransId="{56AECDA9-624E-4D26-85E2-C52D5D3408D4}"/>
    <dgm:cxn modelId="{F763D9F2-C80F-4BAC-BB58-B56B7D91EECA}" type="presOf" srcId="{91443165-E9D5-4B96-94B1-BA37BE807C89}" destId="{FEB7EF2C-EEAB-4FA5-A9F3-32E6818326D7}" srcOrd="0" destOrd="0" presId="urn:microsoft.com/office/officeart/2005/8/layout/hList3"/>
    <dgm:cxn modelId="{844CEF6E-DC12-4925-BD5D-630EB7CC6081}" type="presOf" srcId="{99716A23-9057-4999-BB76-E088A231D0B4}" destId="{FEB7EF2C-EEAB-4FA5-A9F3-32E6818326D7}" srcOrd="0" destOrd="5" presId="urn:microsoft.com/office/officeart/2005/8/layout/hList3"/>
    <dgm:cxn modelId="{A00B754D-5395-4D3A-B3FA-B470868F0002}" srcId="{37B0ABD9-65F0-424E-B8A8-39388E0279AC}" destId="{91443165-E9D5-4B96-94B1-BA37BE807C89}" srcOrd="4" destOrd="0" parTransId="{48809B34-05F7-49F7-B415-AC713B56068F}" sibTransId="{29C0165F-E481-4B47-AD05-C4E41BF284E4}"/>
    <dgm:cxn modelId="{7882F4F9-C812-47AE-81DC-5F0C9350F09E}" srcId="{0256D28E-8B69-4859-AC68-2E081F640287}" destId="{05C9FC9A-B1FE-4BCC-B1DA-97A0595CDDBE}" srcOrd="0" destOrd="0" parTransId="{EB9CDC57-0F8B-4C29-B738-8E292E214ABA}" sibTransId="{BEF9523F-52DC-45E6-BFEE-E766A3A5BFFC}"/>
    <dgm:cxn modelId="{C2B3EAD4-BF36-4048-9EBE-B1A4ECD7F47D}" type="presOf" srcId="{54EDD84D-5665-4737-A7D0-6502AA162DCD}" destId="{0041BE44-3C59-4FA8-99E0-DD0F10BEC3DC}" srcOrd="0" destOrd="3" presId="urn:microsoft.com/office/officeart/2005/8/layout/hList3"/>
    <dgm:cxn modelId="{8F360DBF-983B-4F64-A88B-9EE999C237AD}" type="presOf" srcId="{D38320D7-AE85-4E2D-B966-EB9C6D27B2F3}" destId="{FEB7EF2C-EEAB-4FA5-A9F3-32E6818326D7}" srcOrd="0" destOrd="4" presId="urn:microsoft.com/office/officeart/2005/8/layout/hList3"/>
    <dgm:cxn modelId="{F177B3F5-A154-46D2-991E-930DA626FFA3}" srcId="{37B0ABD9-65F0-424E-B8A8-39388E0279AC}" destId="{0256D28E-8B69-4859-AC68-2E081F640287}" srcOrd="0" destOrd="0" parTransId="{9A6DED02-BAD6-40DA-9F88-D6F6837FA5DA}" sibTransId="{F92A7C07-4921-4156-8559-04F7BBC9F576}"/>
    <dgm:cxn modelId="{AC575FCF-9D3B-440E-B116-3EF20EE68BB1}" type="presOf" srcId="{F1DEF6D8-AA8F-4BF8-B96C-1C21C82BC97F}" destId="{0041BE44-3C59-4FA8-99E0-DD0F10BEC3DC}" srcOrd="0" destOrd="1" presId="urn:microsoft.com/office/officeart/2005/8/layout/hList3"/>
    <dgm:cxn modelId="{881598EF-6E84-4EF5-89A7-80A2108AEC2A}" type="presOf" srcId="{2A4F03BB-0989-4D4B-B919-C4C9AD40A7A3}" destId="{FEB7EF2C-EEAB-4FA5-A9F3-32E6818326D7}" srcOrd="0" destOrd="3" presId="urn:microsoft.com/office/officeart/2005/8/layout/hList3"/>
    <dgm:cxn modelId="{726F9D11-8474-41DB-BCDD-625EEBD8BCAE}" type="presOf" srcId="{C4192082-3BD5-4C3C-97A1-21AF6FA6B885}" destId="{46D985C8-4534-490D-97CC-50D9817A3009}" srcOrd="0" destOrd="1" presId="urn:microsoft.com/office/officeart/2005/8/layout/hList3"/>
    <dgm:cxn modelId="{131ECCE8-48C1-418B-BC18-3CDF288349B7}" srcId="{C1255F22-EDF9-4900-9B7A-ED478E3CDA46}" destId="{F1DEF6D8-AA8F-4BF8-B96C-1C21C82BC97F}" srcOrd="0" destOrd="0" parTransId="{DD7DF29E-806F-4A5F-B2D8-C7BB3AFBAF92}" sibTransId="{83129176-D286-44C1-882E-8951212A95B0}"/>
    <dgm:cxn modelId="{68B597A2-7493-41A3-85B4-BAA2ABB65E07}" srcId="{37B0ABD9-65F0-424E-B8A8-39388E0279AC}" destId="{C1255F22-EDF9-4900-9B7A-ED478E3CDA46}" srcOrd="2" destOrd="0" parTransId="{8132E5F1-1E39-44D0-A201-7290D1A53C28}" sibTransId="{0270F38F-8995-42DD-B768-DF888181F123}"/>
    <dgm:cxn modelId="{D9589C5A-96D7-4B96-A913-4A765E819186}" type="presOf" srcId="{C381798F-12EB-4837-85D7-65F938C4A581}" destId="{0041BE44-3C59-4FA8-99E0-DD0F10BEC3DC}" srcOrd="0" destOrd="4" presId="urn:microsoft.com/office/officeart/2005/8/layout/hList3"/>
    <dgm:cxn modelId="{3C428987-547E-45EA-B8FF-DD9D91FFBB31}" type="presOf" srcId="{C1255F22-EDF9-4900-9B7A-ED478E3CDA46}" destId="{0041BE44-3C59-4FA8-99E0-DD0F10BEC3DC}" srcOrd="0" destOrd="0" presId="urn:microsoft.com/office/officeart/2005/8/layout/hList3"/>
    <dgm:cxn modelId="{61780AFF-AC81-45DA-AF3A-205CA26F251A}" type="presOf" srcId="{4AC63578-56AD-4847-9E10-15804FC0C15F}" destId="{FEB7EF2C-EEAB-4FA5-A9F3-32E6818326D7}" srcOrd="0" destOrd="1" presId="urn:microsoft.com/office/officeart/2005/8/layout/hList3"/>
    <dgm:cxn modelId="{F6C4ED67-E990-454B-A96B-A68C11D22373}" srcId="{91443165-E9D5-4B96-94B1-BA37BE807C89}" destId="{2A4F03BB-0989-4D4B-B919-C4C9AD40A7A3}" srcOrd="2" destOrd="0" parTransId="{4772C8AA-46BA-4331-8680-F1FCDE393B34}" sibTransId="{FC775FA2-0E20-443E-A9C2-3391F0892C0C}"/>
    <dgm:cxn modelId="{C34AD9EA-B30F-42D7-8CB4-A673A058467B}" type="presOf" srcId="{DE93709E-EC75-48C8-B099-245E4F8BCF3D}" destId="{FCEA540D-1867-437E-AF1D-48BD2BF5695C}" srcOrd="0" destOrd="0" presId="urn:microsoft.com/office/officeart/2005/8/layout/hList3"/>
    <dgm:cxn modelId="{BCB68BC7-3E15-4709-9830-3BE43F335944}" type="presOf" srcId="{05C9FC9A-B1FE-4BCC-B1DA-97A0595CDDBE}" destId="{41FC6F27-ABE0-4B79-84C5-D8CE17F9078C}" srcOrd="0" destOrd="1" presId="urn:microsoft.com/office/officeart/2005/8/layout/hList3"/>
    <dgm:cxn modelId="{DFE8DCBD-10BA-4558-9CDE-C1EE3CF88C82}" type="presOf" srcId="{37B0ABD9-65F0-424E-B8A8-39388E0279AC}" destId="{A4C28722-9A06-4330-8C4E-8387D12989ED}" srcOrd="0" destOrd="0" presId="urn:microsoft.com/office/officeart/2005/8/layout/hList3"/>
    <dgm:cxn modelId="{A92EA237-9EDE-468C-9BE6-8CF86DA3B30E}" srcId="{DE93709E-EC75-48C8-B099-245E4F8BCF3D}" destId="{5F8EA924-21D3-4890-9370-7CFCE4B1274D}" srcOrd="0" destOrd="0" parTransId="{952CDFB2-12D3-4B6B-B4FD-6B97AD4F7EFF}" sibTransId="{62B6C042-9098-4A92-962F-C3E5FA4059C0}"/>
    <dgm:cxn modelId="{050BF978-F5FE-499C-9FF3-92F1B3BAFEDA}" type="presOf" srcId="{5F8EA924-21D3-4890-9370-7CFCE4B1274D}" destId="{FCEA540D-1867-437E-AF1D-48BD2BF5695C}" srcOrd="0" destOrd="1" presId="urn:microsoft.com/office/officeart/2005/8/layout/hList3"/>
    <dgm:cxn modelId="{31FBFA7B-AEEB-4BD8-8023-4332042229AC}" type="presParOf" srcId="{D7631531-80B8-4343-BB5D-96E1FE9C46B0}" destId="{A4C28722-9A06-4330-8C4E-8387D12989ED}" srcOrd="0" destOrd="0" presId="urn:microsoft.com/office/officeart/2005/8/layout/hList3"/>
    <dgm:cxn modelId="{083CAD0A-B53A-4B76-B89E-83C1915377D7}" type="presParOf" srcId="{D7631531-80B8-4343-BB5D-96E1FE9C46B0}" destId="{866780FA-44AE-4C1D-91CF-C554346D25C4}" srcOrd="1" destOrd="0" presId="urn:microsoft.com/office/officeart/2005/8/layout/hList3"/>
    <dgm:cxn modelId="{0887DB79-3D2A-4DF9-ADA2-D8FBC188D321}" type="presParOf" srcId="{866780FA-44AE-4C1D-91CF-C554346D25C4}" destId="{41FC6F27-ABE0-4B79-84C5-D8CE17F9078C}" srcOrd="0" destOrd="0" presId="urn:microsoft.com/office/officeart/2005/8/layout/hList3"/>
    <dgm:cxn modelId="{E7484F58-24FF-4993-9C07-EF4048C21EF9}" type="presParOf" srcId="{866780FA-44AE-4C1D-91CF-C554346D25C4}" destId="{FCEA540D-1867-437E-AF1D-48BD2BF5695C}" srcOrd="1" destOrd="0" presId="urn:microsoft.com/office/officeart/2005/8/layout/hList3"/>
    <dgm:cxn modelId="{8699F56B-2A84-44AC-A72F-73A18EF48AE4}" type="presParOf" srcId="{866780FA-44AE-4C1D-91CF-C554346D25C4}" destId="{0041BE44-3C59-4FA8-99E0-DD0F10BEC3DC}" srcOrd="2" destOrd="0" presId="urn:microsoft.com/office/officeart/2005/8/layout/hList3"/>
    <dgm:cxn modelId="{FED6083D-7015-483B-B945-7192B752BB42}" type="presParOf" srcId="{866780FA-44AE-4C1D-91CF-C554346D25C4}" destId="{46D985C8-4534-490D-97CC-50D9817A3009}" srcOrd="3" destOrd="0" presId="urn:microsoft.com/office/officeart/2005/8/layout/hList3"/>
    <dgm:cxn modelId="{C57C76E3-20B2-4CBA-936C-D6EB5E76838B}" type="presParOf" srcId="{866780FA-44AE-4C1D-91CF-C554346D25C4}" destId="{FEB7EF2C-EEAB-4FA5-A9F3-32E6818326D7}" srcOrd="4" destOrd="0" presId="urn:microsoft.com/office/officeart/2005/8/layout/hList3"/>
    <dgm:cxn modelId="{BEF04C5C-6563-4545-BB9E-73FB117D968B}" type="presParOf" srcId="{D7631531-80B8-4343-BB5D-96E1FE9C46B0}" destId="{2B4A5F56-0BA1-4DCE-852B-CEC560521A7D}" srcOrd="2" destOrd="0" presId="urn:microsoft.com/office/officeart/2005/8/layout/hList3"/>
  </dgm:cxnLst>
  <dgm:bg>
    <a:noFill/>
  </dgm:bg>
  <dgm:whole/>
  <dgm:extLst>
    <a:ext uri="http://schemas.microsoft.com/office/drawing/2008/diagram">
      <dsp:dataModelExt xmlns:dsp="http://schemas.microsoft.com/office/drawing/2008/diagram" xmlns=""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C8DA6F7-B312-4156-83BC-BA0E2D833F95}" type="doc">
      <dgm:prSet loTypeId="urn:microsoft.com/office/officeart/2005/8/layout/cycle7" loCatId="cycle" qsTypeId="urn:microsoft.com/office/officeart/2005/8/quickstyle/3d2" qsCatId="3D" csTypeId="urn:microsoft.com/office/officeart/2005/8/colors/colorful1#1" csCatId="colorful" phldr="1"/>
      <dgm:spPr/>
      <dgm:t>
        <a:bodyPr/>
        <a:lstStyle/>
        <a:p>
          <a:endParaRPr lang="en-US"/>
        </a:p>
      </dgm:t>
    </dgm:pt>
    <dgm:pt modelId="{F76BCD12-5A2F-415A-9FFE-BEA8D7444B28}">
      <dgm:prSet phldrT="[Text]"/>
      <dgm:spPr/>
      <dgm:t>
        <a:bodyPr/>
        <a:lstStyle/>
        <a:p>
          <a:pPr algn="ctr"/>
          <a:r>
            <a:rPr lang="en-US"/>
            <a:t>Monitoring national indicators</a:t>
          </a:r>
        </a:p>
      </dgm:t>
    </dgm:pt>
    <dgm:pt modelId="{17870360-D247-4479-A2BD-612B347A7623}" type="parTrans" cxnId="{FABAD2A4-FDAE-4222-A70A-DA4FA1952D50}">
      <dgm:prSet/>
      <dgm:spPr/>
      <dgm:t>
        <a:bodyPr/>
        <a:lstStyle/>
        <a:p>
          <a:pPr algn="ctr"/>
          <a:endParaRPr lang="en-US"/>
        </a:p>
      </dgm:t>
    </dgm:pt>
    <dgm:pt modelId="{9EE236E8-26CA-4FAA-B785-CBBDFDEF3801}" type="sibTrans" cxnId="{FABAD2A4-FDAE-4222-A70A-DA4FA1952D50}">
      <dgm:prSet/>
      <dgm:spPr/>
      <dgm:t>
        <a:bodyPr/>
        <a:lstStyle/>
        <a:p>
          <a:pPr algn="ctr"/>
          <a:endParaRPr lang="en-US"/>
        </a:p>
      </dgm:t>
    </dgm:pt>
    <dgm:pt modelId="{B108A112-8279-4675-AD31-0DAEE5B89DA3}">
      <dgm:prSet phldrT="[Text]"/>
      <dgm:spPr/>
      <dgm:t>
        <a:bodyPr/>
        <a:lstStyle/>
        <a:p>
          <a:pPr algn="ctr"/>
          <a:r>
            <a:rPr lang="en-US"/>
            <a:t>Monitoring and docuemnting viiolations</a:t>
          </a:r>
        </a:p>
      </dgm:t>
    </dgm:pt>
    <dgm:pt modelId="{2CAA4F37-CE44-437C-8BAD-299DC3F0E4DA}" type="parTrans" cxnId="{486CF73F-7B6B-44CD-940C-90B0694BFE02}">
      <dgm:prSet/>
      <dgm:spPr/>
      <dgm:t>
        <a:bodyPr/>
        <a:lstStyle/>
        <a:p>
          <a:pPr algn="ctr"/>
          <a:endParaRPr lang="en-US"/>
        </a:p>
      </dgm:t>
    </dgm:pt>
    <dgm:pt modelId="{96035994-8F7E-4BE6-8BE3-951E4A57E07F}" type="sibTrans" cxnId="{486CF73F-7B6B-44CD-940C-90B0694BFE02}">
      <dgm:prSet/>
      <dgm:spPr/>
      <dgm:t>
        <a:bodyPr/>
        <a:lstStyle/>
        <a:p>
          <a:pPr algn="ctr"/>
          <a:endParaRPr lang="en-US"/>
        </a:p>
      </dgm:t>
    </dgm:pt>
    <dgm:pt modelId="{4BB4B02C-61AA-4FBE-BA0F-4BCB17A83A37}">
      <dgm:prSet phldrT="[Text]"/>
      <dgm:spPr/>
      <dgm:t>
        <a:bodyPr/>
        <a:lstStyle/>
        <a:p>
          <a:pPr algn="ctr"/>
          <a:r>
            <a:rPr lang="en-US"/>
            <a:t>Identifying gaps and taking action</a:t>
          </a:r>
        </a:p>
      </dgm:t>
    </dgm:pt>
    <dgm:pt modelId="{F2D97F3A-E9E1-4606-8CCA-C1D8F7899FF1}" type="parTrans" cxnId="{AB2A60F9-6115-42A4-B0F1-836AEC6D88DF}">
      <dgm:prSet/>
      <dgm:spPr/>
      <dgm:t>
        <a:bodyPr/>
        <a:lstStyle/>
        <a:p>
          <a:endParaRPr lang="en-US"/>
        </a:p>
      </dgm:t>
    </dgm:pt>
    <dgm:pt modelId="{B0109CA5-08CF-4F7E-ABBB-EFCB68E8EFD1}" type="sibTrans" cxnId="{AB2A60F9-6115-42A4-B0F1-836AEC6D88DF}">
      <dgm:prSet/>
      <dgm:spPr/>
      <dgm:t>
        <a:bodyPr/>
        <a:lstStyle/>
        <a:p>
          <a:endParaRPr lang="en-US"/>
        </a:p>
      </dgm:t>
    </dgm:pt>
    <dgm:pt modelId="{669C0CDD-E86E-4EAD-8C4F-795B9A773358}" type="pres">
      <dgm:prSet presAssocID="{AC8DA6F7-B312-4156-83BC-BA0E2D833F95}" presName="Name0" presStyleCnt="0">
        <dgm:presLayoutVars>
          <dgm:dir/>
          <dgm:resizeHandles val="exact"/>
        </dgm:presLayoutVars>
      </dgm:prSet>
      <dgm:spPr/>
      <dgm:t>
        <a:bodyPr/>
        <a:lstStyle/>
        <a:p>
          <a:endParaRPr lang="en-US"/>
        </a:p>
      </dgm:t>
    </dgm:pt>
    <dgm:pt modelId="{72EF1D28-766C-4C81-B03A-9A6B46DE976B}" type="pres">
      <dgm:prSet presAssocID="{F76BCD12-5A2F-415A-9FFE-BEA8D7444B28}" presName="node" presStyleLbl="node1" presStyleIdx="0" presStyleCnt="3" custScaleX="110851">
        <dgm:presLayoutVars>
          <dgm:bulletEnabled val="1"/>
        </dgm:presLayoutVars>
      </dgm:prSet>
      <dgm:spPr/>
      <dgm:t>
        <a:bodyPr/>
        <a:lstStyle/>
        <a:p>
          <a:endParaRPr lang="en-US"/>
        </a:p>
      </dgm:t>
    </dgm:pt>
    <dgm:pt modelId="{119182A7-0D43-4024-AC0A-DD090DDF4031}" type="pres">
      <dgm:prSet presAssocID="{9EE236E8-26CA-4FAA-B785-CBBDFDEF3801}" presName="sibTrans" presStyleLbl="sibTrans2D1" presStyleIdx="0" presStyleCnt="3" custLinFactNeighborX="30773" custLinFactNeighborY="-6943"/>
      <dgm:spPr/>
      <dgm:t>
        <a:bodyPr/>
        <a:lstStyle/>
        <a:p>
          <a:endParaRPr lang="en-US"/>
        </a:p>
      </dgm:t>
    </dgm:pt>
    <dgm:pt modelId="{EBADAFA9-1F6E-4E21-9B79-5812FE3E9725}" type="pres">
      <dgm:prSet presAssocID="{9EE236E8-26CA-4FAA-B785-CBBDFDEF3801}" presName="connectorText" presStyleLbl="sibTrans2D1" presStyleIdx="0" presStyleCnt="3"/>
      <dgm:spPr/>
      <dgm:t>
        <a:bodyPr/>
        <a:lstStyle/>
        <a:p>
          <a:endParaRPr lang="en-US"/>
        </a:p>
      </dgm:t>
    </dgm:pt>
    <dgm:pt modelId="{BA1C2664-57B8-42BD-903C-E8E9A039B508}" type="pres">
      <dgm:prSet presAssocID="{B108A112-8279-4675-AD31-0DAEE5B89DA3}" presName="node" presStyleLbl="node1" presStyleIdx="1" presStyleCnt="3" custScaleX="118103" custRadScaleRad="141584" custRadScaleInc="-21603">
        <dgm:presLayoutVars>
          <dgm:bulletEnabled val="1"/>
        </dgm:presLayoutVars>
      </dgm:prSet>
      <dgm:spPr/>
      <dgm:t>
        <a:bodyPr/>
        <a:lstStyle/>
        <a:p>
          <a:endParaRPr lang="en-US"/>
        </a:p>
      </dgm:t>
    </dgm:pt>
    <dgm:pt modelId="{7DBD5F4F-F2B8-45A7-B3D5-34500B157BAD}" type="pres">
      <dgm:prSet presAssocID="{96035994-8F7E-4BE6-8BE3-951E4A57E07F}" presName="sibTrans" presStyleLbl="sibTrans2D1" presStyleIdx="1" presStyleCnt="3" custScaleX="110287" custScaleY="102513" custLinFactNeighborX="-473" custLinFactNeighborY="12655"/>
      <dgm:spPr/>
      <dgm:t>
        <a:bodyPr/>
        <a:lstStyle/>
        <a:p>
          <a:endParaRPr lang="en-US"/>
        </a:p>
      </dgm:t>
    </dgm:pt>
    <dgm:pt modelId="{CA20574C-DD14-407D-993B-3E8000A80AA2}" type="pres">
      <dgm:prSet presAssocID="{96035994-8F7E-4BE6-8BE3-951E4A57E07F}" presName="connectorText" presStyleLbl="sibTrans2D1" presStyleIdx="1" presStyleCnt="3"/>
      <dgm:spPr/>
      <dgm:t>
        <a:bodyPr/>
        <a:lstStyle/>
        <a:p>
          <a:endParaRPr lang="en-US"/>
        </a:p>
      </dgm:t>
    </dgm:pt>
    <dgm:pt modelId="{D3F221D1-D3E6-43A6-AFBC-888DF2C44169}" type="pres">
      <dgm:prSet presAssocID="{4BB4B02C-61AA-4FBE-BA0F-4BCB17A83A37}" presName="node" presStyleLbl="node1" presStyleIdx="2" presStyleCnt="3" custScaleX="117858" custRadScaleRad="130945" custRadScaleInc="19241">
        <dgm:presLayoutVars>
          <dgm:bulletEnabled val="1"/>
        </dgm:presLayoutVars>
      </dgm:prSet>
      <dgm:spPr/>
      <dgm:t>
        <a:bodyPr/>
        <a:lstStyle/>
        <a:p>
          <a:endParaRPr lang="en-US"/>
        </a:p>
      </dgm:t>
    </dgm:pt>
    <dgm:pt modelId="{A307A04D-1EFD-47E1-BF4F-9BDF59A00007}" type="pres">
      <dgm:prSet presAssocID="{B0109CA5-08CF-4F7E-ABBB-EFCB68E8EFD1}" presName="sibTrans" presStyleLbl="sibTrans2D1" presStyleIdx="2" presStyleCnt="3" custLinFactNeighborX="-31207" custLinFactNeighborY="-9315"/>
      <dgm:spPr/>
      <dgm:t>
        <a:bodyPr/>
        <a:lstStyle/>
        <a:p>
          <a:endParaRPr lang="en-US"/>
        </a:p>
      </dgm:t>
    </dgm:pt>
    <dgm:pt modelId="{60699D41-99F9-4E8E-BC4B-9FF14A77B24C}" type="pres">
      <dgm:prSet presAssocID="{B0109CA5-08CF-4F7E-ABBB-EFCB68E8EFD1}" presName="connectorText" presStyleLbl="sibTrans2D1" presStyleIdx="2" presStyleCnt="3"/>
      <dgm:spPr/>
      <dgm:t>
        <a:bodyPr/>
        <a:lstStyle/>
        <a:p>
          <a:endParaRPr lang="en-US"/>
        </a:p>
      </dgm:t>
    </dgm:pt>
  </dgm:ptLst>
  <dgm:cxnLst>
    <dgm:cxn modelId="{ECC5EE16-7600-4054-B84B-BAF0752B5D78}" type="presOf" srcId="{96035994-8F7E-4BE6-8BE3-951E4A57E07F}" destId="{7DBD5F4F-F2B8-45A7-B3D5-34500B157BAD}" srcOrd="0" destOrd="0" presId="urn:microsoft.com/office/officeart/2005/8/layout/cycle7"/>
    <dgm:cxn modelId="{38A8D7F5-8E6A-4810-8777-4F491E6C06C2}" type="presOf" srcId="{B0109CA5-08CF-4F7E-ABBB-EFCB68E8EFD1}" destId="{60699D41-99F9-4E8E-BC4B-9FF14A77B24C}" srcOrd="1" destOrd="0" presId="urn:microsoft.com/office/officeart/2005/8/layout/cycle7"/>
    <dgm:cxn modelId="{29159BC9-41B4-4E9C-9598-EE506257717F}" type="presOf" srcId="{F76BCD12-5A2F-415A-9FFE-BEA8D7444B28}" destId="{72EF1D28-766C-4C81-B03A-9A6B46DE976B}" srcOrd="0" destOrd="0" presId="urn:microsoft.com/office/officeart/2005/8/layout/cycle7"/>
    <dgm:cxn modelId="{840587F8-8E47-44FE-8535-57DF81F1F3FF}" type="presOf" srcId="{B0109CA5-08CF-4F7E-ABBB-EFCB68E8EFD1}" destId="{A307A04D-1EFD-47E1-BF4F-9BDF59A00007}" srcOrd="0" destOrd="0" presId="urn:microsoft.com/office/officeart/2005/8/layout/cycle7"/>
    <dgm:cxn modelId="{114E06A3-323A-4367-96EF-0AC69668353F}" type="presOf" srcId="{96035994-8F7E-4BE6-8BE3-951E4A57E07F}" destId="{CA20574C-DD14-407D-993B-3E8000A80AA2}" srcOrd="1" destOrd="0" presId="urn:microsoft.com/office/officeart/2005/8/layout/cycle7"/>
    <dgm:cxn modelId="{270F72CD-8844-4962-8A78-601F85C0C423}" type="presOf" srcId="{9EE236E8-26CA-4FAA-B785-CBBDFDEF3801}" destId="{119182A7-0D43-4024-AC0A-DD090DDF4031}" srcOrd="0" destOrd="0" presId="urn:microsoft.com/office/officeart/2005/8/layout/cycle7"/>
    <dgm:cxn modelId="{AB2A60F9-6115-42A4-B0F1-836AEC6D88DF}" srcId="{AC8DA6F7-B312-4156-83BC-BA0E2D833F95}" destId="{4BB4B02C-61AA-4FBE-BA0F-4BCB17A83A37}" srcOrd="2" destOrd="0" parTransId="{F2D97F3A-E9E1-4606-8CCA-C1D8F7899FF1}" sibTransId="{B0109CA5-08CF-4F7E-ABBB-EFCB68E8EFD1}"/>
    <dgm:cxn modelId="{2070BB12-5E98-4226-BD84-DE2A729EC2F0}" type="presOf" srcId="{B108A112-8279-4675-AD31-0DAEE5B89DA3}" destId="{BA1C2664-57B8-42BD-903C-E8E9A039B508}" srcOrd="0" destOrd="0" presId="urn:microsoft.com/office/officeart/2005/8/layout/cycle7"/>
    <dgm:cxn modelId="{3A8D9D87-5320-4A60-9BED-15D3890AAF5C}" type="presOf" srcId="{4BB4B02C-61AA-4FBE-BA0F-4BCB17A83A37}" destId="{D3F221D1-D3E6-43A6-AFBC-888DF2C44169}" srcOrd="0" destOrd="0" presId="urn:microsoft.com/office/officeart/2005/8/layout/cycle7"/>
    <dgm:cxn modelId="{486CF73F-7B6B-44CD-940C-90B0694BFE02}" srcId="{AC8DA6F7-B312-4156-83BC-BA0E2D833F95}" destId="{B108A112-8279-4675-AD31-0DAEE5B89DA3}" srcOrd="1" destOrd="0" parTransId="{2CAA4F37-CE44-437C-8BAD-299DC3F0E4DA}" sibTransId="{96035994-8F7E-4BE6-8BE3-951E4A57E07F}"/>
    <dgm:cxn modelId="{FABAD2A4-FDAE-4222-A70A-DA4FA1952D50}" srcId="{AC8DA6F7-B312-4156-83BC-BA0E2D833F95}" destId="{F76BCD12-5A2F-415A-9FFE-BEA8D7444B28}" srcOrd="0" destOrd="0" parTransId="{17870360-D247-4479-A2BD-612B347A7623}" sibTransId="{9EE236E8-26CA-4FAA-B785-CBBDFDEF3801}"/>
    <dgm:cxn modelId="{74E5CE1C-7761-4EE0-A88E-319289FF9D1F}" type="presOf" srcId="{9EE236E8-26CA-4FAA-B785-CBBDFDEF3801}" destId="{EBADAFA9-1F6E-4E21-9B79-5812FE3E9725}" srcOrd="1" destOrd="0" presId="urn:microsoft.com/office/officeart/2005/8/layout/cycle7"/>
    <dgm:cxn modelId="{F3560958-2042-4E14-8030-8C62366AD9A8}" type="presOf" srcId="{AC8DA6F7-B312-4156-83BC-BA0E2D833F95}" destId="{669C0CDD-E86E-4EAD-8C4F-795B9A773358}" srcOrd="0" destOrd="0" presId="urn:microsoft.com/office/officeart/2005/8/layout/cycle7"/>
    <dgm:cxn modelId="{C475A250-44DC-417A-9AD3-678302EACDE3}" type="presParOf" srcId="{669C0CDD-E86E-4EAD-8C4F-795B9A773358}" destId="{72EF1D28-766C-4C81-B03A-9A6B46DE976B}" srcOrd="0" destOrd="0" presId="urn:microsoft.com/office/officeart/2005/8/layout/cycle7"/>
    <dgm:cxn modelId="{1DF20FA5-A021-43E7-A3EE-6A2F1AF68D74}" type="presParOf" srcId="{669C0CDD-E86E-4EAD-8C4F-795B9A773358}" destId="{119182A7-0D43-4024-AC0A-DD090DDF4031}" srcOrd="1" destOrd="0" presId="urn:microsoft.com/office/officeart/2005/8/layout/cycle7"/>
    <dgm:cxn modelId="{743D2E78-46D1-4F3F-81EF-853978BCE1A5}" type="presParOf" srcId="{119182A7-0D43-4024-AC0A-DD090DDF4031}" destId="{EBADAFA9-1F6E-4E21-9B79-5812FE3E9725}" srcOrd="0" destOrd="0" presId="urn:microsoft.com/office/officeart/2005/8/layout/cycle7"/>
    <dgm:cxn modelId="{5F6C7050-50F3-4700-8BF1-FB4113118253}" type="presParOf" srcId="{669C0CDD-E86E-4EAD-8C4F-795B9A773358}" destId="{BA1C2664-57B8-42BD-903C-E8E9A039B508}" srcOrd="2" destOrd="0" presId="urn:microsoft.com/office/officeart/2005/8/layout/cycle7"/>
    <dgm:cxn modelId="{E603AD29-394F-4389-8F49-F96CAECDFC00}" type="presParOf" srcId="{669C0CDD-E86E-4EAD-8C4F-795B9A773358}" destId="{7DBD5F4F-F2B8-45A7-B3D5-34500B157BAD}" srcOrd="3" destOrd="0" presId="urn:microsoft.com/office/officeart/2005/8/layout/cycle7"/>
    <dgm:cxn modelId="{980C2B4A-108D-4301-BD3A-FC441E5CBD8D}" type="presParOf" srcId="{7DBD5F4F-F2B8-45A7-B3D5-34500B157BAD}" destId="{CA20574C-DD14-407D-993B-3E8000A80AA2}" srcOrd="0" destOrd="0" presId="urn:microsoft.com/office/officeart/2005/8/layout/cycle7"/>
    <dgm:cxn modelId="{75E2D3B3-DC1C-43B4-9453-E770768AFD49}" type="presParOf" srcId="{669C0CDD-E86E-4EAD-8C4F-795B9A773358}" destId="{D3F221D1-D3E6-43A6-AFBC-888DF2C44169}" srcOrd="4" destOrd="0" presId="urn:microsoft.com/office/officeart/2005/8/layout/cycle7"/>
    <dgm:cxn modelId="{5E0DF933-9560-4396-BDC6-28F1434D4B39}" type="presParOf" srcId="{669C0CDD-E86E-4EAD-8C4F-795B9A773358}" destId="{A307A04D-1EFD-47E1-BF4F-9BDF59A00007}" srcOrd="5" destOrd="0" presId="urn:microsoft.com/office/officeart/2005/8/layout/cycle7"/>
    <dgm:cxn modelId="{B39DAFA4-5D43-43BF-858D-B7CBE50864D3}" type="presParOf" srcId="{A307A04D-1EFD-47E1-BF4F-9BDF59A00007}" destId="{60699D41-99F9-4E8E-BC4B-9FF14A77B24C}" srcOrd="0" destOrd="0" presId="urn:microsoft.com/office/officeart/2005/8/layout/cycle7"/>
  </dgm:cxnLst>
  <dgm:bg/>
  <dgm:whole/>
  <dgm:extLst>
    <a:ext uri="http://schemas.microsoft.com/office/drawing/2008/diagram">
      <dsp:dataModelExt xmlns:dsp="http://schemas.microsoft.com/office/drawing/2008/diagram" xmlns="" relId="rId2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871944C-5867-4E6A-99F3-4D808442C431}" type="doc">
      <dgm:prSet loTypeId="urn:microsoft.com/office/officeart/2005/8/layout/cycle5" loCatId="cycle" qsTypeId="urn:microsoft.com/office/officeart/2005/8/quickstyle/simple1" qsCatId="simple" csTypeId="urn:microsoft.com/office/officeart/2005/8/colors/accent1_2" csCatId="accent1" phldr="1"/>
      <dgm:spPr/>
      <dgm:t>
        <a:bodyPr/>
        <a:lstStyle/>
        <a:p>
          <a:endParaRPr lang="en-US"/>
        </a:p>
      </dgm:t>
    </dgm:pt>
    <dgm:pt modelId="{ECB404CE-9C83-4389-B7AA-F75FFAC07D8A}">
      <dgm:prSet phldrT="[Text]" custT="1">
        <dgm:style>
          <a:lnRef idx="0">
            <a:schemeClr val="accent1"/>
          </a:lnRef>
          <a:fillRef idx="3">
            <a:schemeClr val="accent1"/>
          </a:fillRef>
          <a:effectRef idx="3">
            <a:schemeClr val="accent1"/>
          </a:effectRef>
          <a:fontRef idx="minor">
            <a:schemeClr val="lt1"/>
          </a:fontRef>
        </dgm:style>
      </dgm:prSet>
      <dgm:spPr/>
      <dgm:t>
        <a:bodyPr/>
        <a:lstStyle/>
        <a:p>
          <a:pPr algn="ctr" rtl="0"/>
          <a:r>
            <a:rPr lang="en-US" sz="1200"/>
            <a:t>set clear indicators for children's rights</a:t>
          </a:r>
        </a:p>
      </dgm:t>
    </dgm:pt>
    <dgm:pt modelId="{A78914FB-8598-43FB-A65C-FE1CA59C3327}" type="parTrans" cxnId="{1BBFCF7C-016D-4F15-B67A-D37803E02983}">
      <dgm:prSet/>
      <dgm:spPr/>
      <dgm:t>
        <a:bodyPr/>
        <a:lstStyle/>
        <a:p>
          <a:pPr algn="ctr"/>
          <a:endParaRPr lang="en-US" sz="1200"/>
        </a:p>
      </dgm:t>
    </dgm:pt>
    <dgm:pt modelId="{2C3ADB92-4B86-4FE9-AE4A-5BDF5D57C073}" type="sibTrans" cxnId="{1BBFCF7C-016D-4F15-B67A-D37803E02983}">
      <dgm:prSet/>
      <dgm:spPr/>
      <dgm:t>
        <a:bodyPr/>
        <a:lstStyle/>
        <a:p>
          <a:pPr algn="ctr"/>
          <a:endParaRPr lang="en-US" sz="1200"/>
        </a:p>
      </dgm:t>
    </dgm:pt>
    <dgm:pt modelId="{B6A5B8F6-47BE-4E62-A766-54B58D346F5A}">
      <dgm:prSet phldrT="[Text]" custT="1">
        <dgm:style>
          <a:lnRef idx="0">
            <a:schemeClr val="accent1"/>
          </a:lnRef>
          <a:fillRef idx="3">
            <a:schemeClr val="accent1"/>
          </a:fillRef>
          <a:effectRef idx="3">
            <a:schemeClr val="accent1"/>
          </a:effectRef>
          <a:fontRef idx="minor">
            <a:schemeClr val="lt1"/>
          </a:fontRef>
        </dgm:style>
      </dgm:prSet>
      <dgm:spPr/>
      <dgm:t>
        <a:bodyPr/>
        <a:lstStyle/>
        <a:p>
          <a:pPr algn="ctr" rtl="0"/>
          <a:r>
            <a:rPr lang="en-US" sz="1200"/>
            <a:t>implement reliable data collection process</a:t>
          </a:r>
        </a:p>
      </dgm:t>
    </dgm:pt>
    <dgm:pt modelId="{1CEBC0AD-8B6E-4228-B2D3-08A4F55AA13C}" type="parTrans" cxnId="{7E2BB103-CA93-4E2A-9651-847556CEA5EF}">
      <dgm:prSet/>
      <dgm:spPr/>
      <dgm:t>
        <a:bodyPr/>
        <a:lstStyle/>
        <a:p>
          <a:pPr algn="ctr"/>
          <a:endParaRPr lang="en-US" sz="1200"/>
        </a:p>
      </dgm:t>
    </dgm:pt>
    <dgm:pt modelId="{D4FE3AAE-5823-4DAA-9417-5F48562817B4}" type="sibTrans" cxnId="{7E2BB103-CA93-4E2A-9651-847556CEA5EF}">
      <dgm:prSet/>
      <dgm:spPr/>
      <dgm:t>
        <a:bodyPr/>
        <a:lstStyle/>
        <a:p>
          <a:pPr algn="ctr"/>
          <a:endParaRPr lang="en-US" sz="1200"/>
        </a:p>
      </dgm:t>
    </dgm:pt>
    <dgm:pt modelId="{F5ADB53E-1BAE-4D7D-BC0D-82E2A72D2B14}">
      <dgm:prSet phldrT="[Text]" custT="1">
        <dgm:style>
          <a:lnRef idx="0">
            <a:schemeClr val="accent1"/>
          </a:lnRef>
          <a:fillRef idx="3">
            <a:schemeClr val="accent1"/>
          </a:fillRef>
          <a:effectRef idx="3">
            <a:schemeClr val="accent1"/>
          </a:effectRef>
          <a:fontRef idx="minor">
            <a:schemeClr val="lt1"/>
          </a:fontRef>
        </dgm:style>
      </dgm:prSet>
      <dgm:spPr/>
      <dgm:t>
        <a:bodyPr/>
        <a:lstStyle/>
        <a:p>
          <a:pPr algn="ctr" rtl="0"/>
          <a:r>
            <a:rPr lang="en-US" sz="1200"/>
            <a:t>Monitor and report on progress and violations of children's rights</a:t>
          </a:r>
        </a:p>
      </dgm:t>
    </dgm:pt>
    <dgm:pt modelId="{B4F5E74E-2EC2-49AB-9AF7-DD47D9163F75}" type="parTrans" cxnId="{6C9D738D-1C1C-4930-96E5-749EB2E1BAFA}">
      <dgm:prSet/>
      <dgm:spPr/>
      <dgm:t>
        <a:bodyPr/>
        <a:lstStyle/>
        <a:p>
          <a:pPr algn="ctr"/>
          <a:endParaRPr lang="en-US" sz="1200"/>
        </a:p>
      </dgm:t>
    </dgm:pt>
    <dgm:pt modelId="{6AEA0F9C-B106-47F9-AEA7-06B5DFD5BE5E}" type="sibTrans" cxnId="{6C9D738D-1C1C-4930-96E5-749EB2E1BAFA}">
      <dgm:prSet/>
      <dgm:spPr/>
      <dgm:t>
        <a:bodyPr/>
        <a:lstStyle/>
        <a:p>
          <a:pPr algn="ctr"/>
          <a:endParaRPr lang="en-US" sz="1200"/>
        </a:p>
      </dgm:t>
    </dgm:pt>
    <dgm:pt modelId="{BD612D6F-45D6-4BC0-B795-94768AB55133}">
      <dgm:prSet phldrT="[Text]" custT="1">
        <dgm:style>
          <a:lnRef idx="0">
            <a:schemeClr val="accent5"/>
          </a:lnRef>
          <a:fillRef idx="3">
            <a:schemeClr val="accent5"/>
          </a:fillRef>
          <a:effectRef idx="3">
            <a:schemeClr val="accent5"/>
          </a:effectRef>
          <a:fontRef idx="minor">
            <a:schemeClr val="lt1"/>
          </a:fontRef>
        </dgm:style>
      </dgm:prSet>
      <dgm:spPr/>
      <dgm:t>
        <a:bodyPr/>
        <a:lstStyle/>
        <a:p>
          <a:pPr algn="ctr" rtl="0"/>
          <a:r>
            <a:rPr lang="en-US" sz="1200"/>
            <a:t>State report on status of children's rights</a:t>
          </a:r>
        </a:p>
      </dgm:t>
    </dgm:pt>
    <dgm:pt modelId="{ADD1AE54-75DD-4104-8A32-30E763FD821C}" type="parTrans" cxnId="{D2D53C89-A6B1-4E53-A075-F23E5B4D1D15}">
      <dgm:prSet/>
      <dgm:spPr/>
      <dgm:t>
        <a:bodyPr/>
        <a:lstStyle/>
        <a:p>
          <a:pPr algn="ctr"/>
          <a:endParaRPr lang="en-US" sz="1200"/>
        </a:p>
      </dgm:t>
    </dgm:pt>
    <dgm:pt modelId="{23B9C6C4-77B7-4216-9083-27F23803A5CE}" type="sibTrans" cxnId="{D2D53C89-A6B1-4E53-A075-F23E5B4D1D15}">
      <dgm:prSet/>
      <dgm:spPr/>
      <dgm:t>
        <a:bodyPr/>
        <a:lstStyle/>
        <a:p>
          <a:pPr algn="ctr"/>
          <a:endParaRPr lang="en-US" sz="1200"/>
        </a:p>
      </dgm:t>
    </dgm:pt>
    <dgm:pt modelId="{2BD80F86-AE38-4FBE-B1AD-60C693DF3F53}">
      <dgm:prSet phldrT="[Text]" custT="1">
        <dgm:style>
          <a:lnRef idx="0">
            <a:schemeClr val="accent5"/>
          </a:lnRef>
          <a:fillRef idx="3">
            <a:schemeClr val="accent5"/>
          </a:fillRef>
          <a:effectRef idx="3">
            <a:schemeClr val="accent5"/>
          </a:effectRef>
          <a:fontRef idx="minor">
            <a:schemeClr val="lt1"/>
          </a:fontRef>
        </dgm:style>
      </dgm:prSet>
      <dgm:spPr/>
      <dgm:t>
        <a:bodyPr/>
        <a:lstStyle/>
        <a:p>
          <a:pPr algn="ctr" rtl="0"/>
          <a:r>
            <a:rPr lang="en-US" sz="1200"/>
            <a:t>International reporting and monitoring of violations of children's rights</a:t>
          </a:r>
        </a:p>
      </dgm:t>
    </dgm:pt>
    <dgm:pt modelId="{F4F77AF5-53C4-4BC2-92B5-6434A8964697}" type="parTrans" cxnId="{E45A2DD2-1E6E-4BF4-B6C5-AB858F23CB3C}">
      <dgm:prSet/>
      <dgm:spPr/>
      <dgm:t>
        <a:bodyPr/>
        <a:lstStyle/>
        <a:p>
          <a:pPr algn="ctr"/>
          <a:endParaRPr lang="en-US" sz="1200"/>
        </a:p>
      </dgm:t>
    </dgm:pt>
    <dgm:pt modelId="{C83DBDE1-04C2-4BBC-ADC2-A59DAD2AA5B8}" type="sibTrans" cxnId="{E45A2DD2-1E6E-4BF4-B6C5-AB858F23CB3C}">
      <dgm:prSet/>
      <dgm:spPr/>
      <dgm:t>
        <a:bodyPr/>
        <a:lstStyle/>
        <a:p>
          <a:pPr algn="ctr"/>
          <a:endParaRPr lang="en-US" sz="1200"/>
        </a:p>
      </dgm:t>
    </dgm:pt>
    <dgm:pt modelId="{785E67E6-E300-4172-9C22-732083C169C5}">
      <dgm:prSet custT="1">
        <dgm:style>
          <a:lnRef idx="0">
            <a:schemeClr val="accent2"/>
          </a:lnRef>
          <a:fillRef idx="3">
            <a:schemeClr val="accent2"/>
          </a:fillRef>
          <a:effectRef idx="3">
            <a:schemeClr val="accent2"/>
          </a:effectRef>
          <a:fontRef idx="minor">
            <a:schemeClr val="lt1"/>
          </a:fontRef>
        </dgm:style>
      </dgm:prSet>
      <dgm:spPr/>
      <dgm:t>
        <a:bodyPr/>
        <a:lstStyle/>
        <a:p>
          <a:pPr algn="ctr" rtl="0"/>
          <a:r>
            <a:rPr lang="en-US" sz="1200"/>
            <a:t>Action to address violations of children's rights</a:t>
          </a:r>
        </a:p>
      </dgm:t>
    </dgm:pt>
    <dgm:pt modelId="{59C43D7C-1976-4A46-9AA9-EE0AB971166B}" type="parTrans" cxnId="{BE464EBF-C9A8-4F56-8689-B4644A5A08D4}">
      <dgm:prSet/>
      <dgm:spPr/>
      <dgm:t>
        <a:bodyPr/>
        <a:lstStyle/>
        <a:p>
          <a:pPr algn="ctr"/>
          <a:endParaRPr lang="en-US" sz="1200"/>
        </a:p>
      </dgm:t>
    </dgm:pt>
    <dgm:pt modelId="{96C41BA8-01EC-46D0-9BB5-4FBE55B55965}" type="sibTrans" cxnId="{BE464EBF-C9A8-4F56-8689-B4644A5A08D4}">
      <dgm:prSet/>
      <dgm:spPr/>
      <dgm:t>
        <a:bodyPr/>
        <a:lstStyle/>
        <a:p>
          <a:pPr algn="ctr"/>
          <a:endParaRPr lang="en-US" sz="1200"/>
        </a:p>
      </dgm:t>
    </dgm:pt>
    <dgm:pt modelId="{0A559945-08FB-4F0A-94C5-813C5E9B7B57}">
      <dgm:prSet custT="1">
        <dgm:style>
          <a:lnRef idx="0">
            <a:schemeClr val="accent2"/>
          </a:lnRef>
          <a:fillRef idx="3">
            <a:schemeClr val="accent2"/>
          </a:fillRef>
          <a:effectRef idx="3">
            <a:schemeClr val="accent2"/>
          </a:effectRef>
          <a:fontRef idx="minor">
            <a:schemeClr val="lt1"/>
          </a:fontRef>
        </dgm:style>
      </dgm:prSet>
      <dgm:spPr/>
      <dgm:t>
        <a:bodyPr/>
        <a:lstStyle/>
        <a:p>
          <a:pPr algn="ctr" rtl="0"/>
          <a:r>
            <a:rPr lang="en-US" sz="1200"/>
            <a:t>National action to address violations of children's rights</a:t>
          </a:r>
        </a:p>
      </dgm:t>
    </dgm:pt>
    <dgm:pt modelId="{50ECCC72-B944-40D0-AF74-189138618338}" type="parTrans" cxnId="{11DE9D56-63E2-4638-956B-B353B63C6229}">
      <dgm:prSet/>
      <dgm:spPr/>
      <dgm:t>
        <a:bodyPr/>
        <a:lstStyle/>
        <a:p>
          <a:pPr algn="ctr"/>
          <a:endParaRPr lang="en-US" sz="1200"/>
        </a:p>
      </dgm:t>
    </dgm:pt>
    <dgm:pt modelId="{5CCBB0B3-F71C-41CE-8BC9-CD3ED72A48CC}" type="sibTrans" cxnId="{11DE9D56-63E2-4638-956B-B353B63C6229}">
      <dgm:prSet/>
      <dgm:spPr/>
      <dgm:t>
        <a:bodyPr/>
        <a:lstStyle/>
        <a:p>
          <a:pPr algn="ctr"/>
          <a:endParaRPr lang="en-US" sz="1200"/>
        </a:p>
      </dgm:t>
    </dgm:pt>
    <dgm:pt modelId="{4338D61B-423B-4314-86A3-74F03C93E501}" type="pres">
      <dgm:prSet presAssocID="{E871944C-5867-4E6A-99F3-4D808442C431}" presName="cycle" presStyleCnt="0">
        <dgm:presLayoutVars>
          <dgm:dir/>
          <dgm:resizeHandles val="exact"/>
        </dgm:presLayoutVars>
      </dgm:prSet>
      <dgm:spPr/>
      <dgm:t>
        <a:bodyPr/>
        <a:lstStyle/>
        <a:p>
          <a:endParaRPr lang="en-US"/>
        </a:p>
      </dgm:t>
    </dgm:pt>
    <dgm:pt modelId="{C288C109-A9B3-45A6-8365-54D54D66CB09}" type="pres">
      <dgm:prSet presAssocID="{ECB404CE-9C83-4389-B7AA-F75FFAC07D8A}" presName="node" presStyleLbl="node1" presStyleIdx="0" presStyleCnt="7" custScaleX="135394" custScaleY="113991" custRadScaleRad="100024" custRadScaleInc="7257">
        <dgm:presLayoutVars>
          <dgm:bulletEnabled val="1"/>
        </dgm:presLayoutVars>
      </dgm:prSet>
      <dgm:spPr/>
      <dgm:t>
        <a:bodyPr/>
        <a:lstStyle/>
        <a:p>
          <a:endParaRPr lang="en-US"/>
        </a:p>
      </dgm:t>
    </dgm:pt>
    <dgm:pt modelId="{F947714E-E51E-4510-96D5-AFEAD6101528}" type="pres">
      <dgm:prSet presAssocID="{ECB404CE-9C83-4389-B7AA-F75FFAC07D8A}" presName="spNode" presStyleCnt="0"/>
      <dgm:spPr/>
      <dgm:t>
        <a:bodyPr/>
        <a:lstStyle/>
        <a:p>
          <a:endParaRPr lang="en-US"/>
        </a:p>
      </dgm:t>
    </dgm:pt>
    <dgm:pt modelId="{CDAE9544-15DF-43C4-8F6D-3EEF9786A544}" type="pres">
      <dgm:prSet presAssocID="{2C3ADB92-4B86-4FE9-AE4A-5BDF5D57C073}" presName="sibTrans" presStyleLbl="sibTrans1D1" presStyleIdx="0" presStyleCnt="7"/>
      <dgm:spPr/>
      <dgm:t>
        <a:bodyPr/>
        <a:lstStyle/>
        <a:p>
          <a:endParaRPr lang="en-US"/>
        </a:p>
      </dgm:t>
    </dgm:pt>
    <dgm:pt modelId="{F52BC9AA-40C4-4F20-A4C9-8CAA0809477E}" type="pres">
      <dgm:prSet presAssocID="{B6A5B8F6-47BE-4E62-A766-54B58D346F5A}" presName="node" presStyleLbl="node1" presStyleIdx="1" presStyleCnt="7" custScaleX="134036" custScaleY="156227" custRadScaleRad="102370" custRadScaleInc="19258">
        <dgm:presLayoutVars>
          <dgm:bulletEnabled val="1"/>
        </dgm:presLayoutVars>
      </dgm:prSet>
      <dgm:spPr/>
      <dgm:t>
        <a:bodyPr/>
        <a:lstStyle/>
        <a:p>
          <a:endParaRPr lang="en-US"/>
        </a:p>
      </dgm:t>
    </dgm:pt>
    <dgm:pt modelId="{4F4AA1ED-470C-4F11-8AC4-ED27BB2B0ED2}" type="pres">
      <dgm:prSet presAssocID="{B6A5B8F6-47BE-4E62-A766-54B58D346F5A}" presName="spNode" presStyleCnt="0"/>
      <dgm:spPr/>
      <dgm:t>
        <a:bodyPr/>
        <a:lstStyle/>
        <a:p>
          <a:endParaRPr lang="en-US"/>
        </a:p>
      </dgm:t>
    </dgm:pt>
    <dgm:pt modelId="{C8916100-3BFF-46C6-B0B8-2292853084D2}" type="pres">
      <dgm:prSet presAssocID="{D4FE3AAE-5823-4DAA-9417-5F48562817B4}" presName="sibTrans" presStyleLbl="sibTrans1D1" presStyleIdx="1" presStyleCnt="7"/>
      <dgm:spPr/>
      <dgm:t>
        <a:bodyPr/>
        <a:lstStyle/>
        <a:p>
          <a:endParaRPr lang="en-US"/>
        </a:p>
      </dgm:t>
    </dgm:pt>
    <dgm:pt modelId="{A2E5CC7E-7457-4061-9F49-377268E8D2CD}" type="pres">
      <dgm:prSet presAssocID="{F5ADB53E-1BAE-4D7D-BC0D-82E2A72D2B14}" presName="node" presStyleLbl="node1" presStyleIdx="2" presStyleCnt="7" custScaleX="142549" custScaleY="149022">
        <dgm:presLayoutVars>
          <dgm:bulletEnabled val="1"/>
        </dgm:presLayoutVars>
      </dgm:prSet>
      <dgm:spPr/>
      <dgm:t>
        <a:bodyPr/>
        <a:lstStyle/>
        <a:p>
          <a:endParaRPr lang="en-US"/>
        </a:p>
      </dgm:t>
    </dgm:pt>
    <dgm:pt modelId="{C686284B-CD7A-43F3-9FB6-D8A62244B495}" type="pres">
      <dgm:prSet presAssocID="{F5ADB53E-1BAE-4D7D-BC0D-82E2A72D2B14}" presName="spNode" presStyleCnt="0"/>
      <dgm:spPr/>
      <dgm:t>
        <a:bodyPr/>
        <a:lstStyle/>
        <a:p>
          <a:endParaRPr lang="en-US"/>
        </a:p>
      </dgm:t>
    </dgm:pt>
    <dgm:pt modelId="{6481CE65-4803-405D-8388-732CA3568EDD}" type="pres">
      <dgm:prSet presAssocID="{6AEA0F9C-B106-47F9-AEA7-06B5DFD5BE5E}" presName="sibTrans" presStyleLbl="sibTrans1D1" presStyleIdx="2" presStyleCnt="7"/>
      <dgm:spPr/>
      <dgm:t>
        <a:bodyPr/>
        <a:lstStyle/>
        <a:p>
          <a:endParaRPr lang="en-US"/>
        </a:p>
      </dgm:t>
    </dgm:pt>
    <dgm:pt modelId="{E86C2651-E11A-4498-9D53-166E74FF17B9}" type="pres">
      <dgm:prSet presAssocID="{BD612D6F-45D6-4BC0-B795-94768AB55133}" presName="node" presStyleLbl="node1" presStyleIdx="3" presStyleCnt="7" custScaleX="141362" custScaleY="130088" custRadScaleRad="101481" custRadScaleInc="-13667">
        <dgm:presLayoutVars>
          <dgm:bulletEnabled val="1"/>
        </dgm:presLayoutVars>
      </dgm:prSet>
      <dgm:spPr/>
      <dgm:t>
        <a:bodyPr/>
        <a:lstStyle/>
        <a:p>
          <a:endParaRPr lang="en-US"/>
        </a:p>
      </dgm:t>
    </dgm:pt>
    <dgm:pt modelId="{CACB9F71-7724-4D98-9DEE-D8C8B97D36DF}" type="pres">
      <dgm:prSet presAssocID="{BD612D6F-45D6-4BC0-B795-94768AB55133}" presName="spNode" presStyleCnt="0"/>
      <dgm:spPr/>
      <dgm:t>
        <a:bodyPr/>
        <a:lstStyle/>
        <a:p>
          <a:endParaRPr lang="en-US"/>
        </a:p>
      </dgm:t>
    </dgm:pt>
    <dgm:pt modelId="{8F09556F-87B7-4082-B62E-7D1029B68742}" type="pres">
      <dgm:prSet presAssocID="{23B9C6C4-77B7-4216-9083-27F23803A5CE}" presName="sibTrans" presStyleLbl="sibTrans1D1" presStyleIdx="3" presStyleCnt="7"/>
      <dgm:spPr/>
      <dgm:t>
        <a:bodyPr/>
        <a:lstStyle/>
        <a:p>
          <a:endParaRPr lang="en-US"/>
        </a:p>
      </dgm:t>
    </dgm:pt>
    <dgm:pt modelId="{9455699B-FB37-4FD2-ADD1-A12771A2AC0D}" type="pres">
      <dgm:prSet presAssocID="{0A559945-08FB-4F0A-94C5-813C5E9B7B57}" presName="node" presStyleLbl="node1" presStyleIdx="4" presStyleCnt="7" custScaleX="145957" custScaleY="128400">
        <dgm:presLayoutVars>
          <dgm:bulletEnabled val="1"/>
        </dgm:presLayoutVars>
      </dgm:prSet>
      <dgm:spPr/>
      <dgm:t>
        <a:bodyPr/>
        <a:lstStyle/>
        <a:p>
          <a:endParaRPr lang="en-US"/>
        </a:p>
      </dgm:t>
    </dgm:pt>
    <dgm:pt modelId="{D190931E-9B15-4706-8571-B9D56C4817A9}" type="pres">
      <dgm:prSet presAssocID="{0A559945-08FB-4F0A-94C5-813C5E9B7B57}" presName="spNode" presStyleCnt="0"/>
      <dgm:spPr/>
      <dgm:t>
        <a:bodyPr/>
        <a:lstStyle/>
        <a:p>
          <a:endParaRPr lang="en-US"/>
        </a:p>
      </dgm:t>
    </dgm:pt>
    <dgm:pt modelId="{1BC98A20-C467-40C0-9594-E1FC12CCDE1B}" type="pres">
      <dgm:prSet presAssocID="{5CCBB0B3-F71C-41CE-8BC9-CD3ED72A48CC}" presName="sibTrans" presStyleLbl="sibTrans1D1" presStyleIdx="4" presStyleCnt="7"/>
      <dgm:spPr/>
      <dgm:t>
        <a:bodyPr/>
        <a:lstStyle/>
        <a:p>
          <a:endParaRPr lang="en-US"/>
        </a:p>
      </dgm:t>
    </dgm:pt>
    <dgm:pt modelId="{C739F327-863F-4CAF-BC9E-B09D9781D135}" type="pres">
      <dgm:prSet presAssocID="{2BD80F86-AE38-4FBE-B1AD-60C693DF3F53}" presName="node" presStyleLbl="node1" presStyleIdx="5" presStyleCnt="7" custScaleX="141405" custScaleY="150428">
        <dgm:presLayoutVars>
          <dgm:bulletEnabled val="1"/>
        </dgm:presLayoutVars>
      </dgm:prSet>
      <dgm:spPr/>
      <dgm:t>
        <a:bodyPr/>
        <a:lstStyle/>
        <a:p>
          <a:endParaRPr lang="en-US"/>
        </a:p>
      </dgm:t>
    </dgm:pt>
    <dgm:pt modelId="{04532B75-56A9-4DC1-90E6-5900BA3D9C01}" type="pres">
      <dgm:prSet presAssocID="{2BD80F86-AE38-4FBE-B1AD-60C693DF3F53}" presName="spNode" presStyleCnt="0"/>
      <dgm:spPr/>
      <dgm:t>
        <a:bodyPr/>
        <a:lstStyle/>
        <a:p>
          <a:endParaRPr lang="en-US"/>
        </a:p>
      </dgm:t>
    </dgm:pt>
    <dgm:pt modelId="{18B7AC17-946B-49A5-B67A-26F8AC208A19}" type="pres">
      <dgm:prSet presAssocID="{C83DBDE1-04C2-4BBC-ADC2-A59DAD2AA5B8}" presName="sibTrans" presStyleLbl="sibTrans1D1" presStyleIdx="5" presStyleCnt="7"/>
      <dgm:spPr/>
      <dgm:t>
        <a:bodyPr/>
        <a:lstStyle/>
        <a:p>
          <a:endParaRPr lang="en-US"/>
        </a:p>
      </dgm:t>
    </dgm:pt>
    <dgm:pt modelId="{3DFDB747-2C6C-4826-8DB4-3EF4663BE090}" type="pres">
      <dgm:prSet presAssocID="{785E67E6-E300-4172-9C22-732083C169C5}" presName="node" presStyleLbl="node1" presStyleIdx="6" presStyleCnt="7" custScaleX="138173" custScaleY="156190" custRadScaleRad="98669" custRadScaleInc="-5716">
        <dgm:presLayoutVars>
          <dgm:bulletEnabled val="1"/>
        </dgm:presLayoutVars>
      </dgm:prSet>
      <dgm:spPr/>
      <dgm:t>
        <a:bodyPr/>
        <a:lstStyle/>
        <a:p>
          <a:endParaRPr lang="en-US"/>
        </a:p>
      </dgm:t>
    </dgm:pt>
    <dgm:pt modelId="{AA8FC306-AAC9-428C-9253-814BAA865536}" type="pres">
      <dgm:prSet presAssocID="{785E67E6-E300-4172-9C22-732083C169C5}" presName="spNode" presStyleCnt="0"/>
      <dgm:spPr/>
      <dgm:t>
        <a:bodyPr/>
        <a:lstStyle/>
        <a:p>
          <a:endParaRPr lang="en-US"/>
        </a:p>
      </dgm:t>
    </dgm:pt>
    <dgm:pt modelId="{A0DCF704-97F4-491C-99E4-B22DE475ECBC}" type="pres">
      <dgm:prSet presAssocID="{96C41BA8-01EC-46D0-9BB5-4FBE55B55965}" presName="sibTrans" presStyleLbl="sibTrans1D1" presStyleIdx="6" presStyleCnt="7"/>
      <dgm:spPr/>
      <dgm:t>
        <a:bodyPr/>
        <a:lstStyle/>
        <a:p>
          <a:endParaRPr lang="en-US"/>
        </a:p>
      </dgm:t>
    </dgm:pt>
  </dgm:ptLst>
  <dgm:cxnLst>
    <dgm:cxn modelId="{7D90A6BE-40CC-47AA-8FCD-FADC29D8C5FC}" type="presOf" srcId="{2C3ADB92-4B86-4FE9-AE4A-5BDF5D57C073}" destId="{CDAE9544-15DF-43C4-8F6D-3EEF9786A544}" srcOrd="0" destOrd="0" presId="urn:microsoft.com/office/officeart/2005/8/layout/cycle5"/>
    <dgm:cxn modelId="{0D05AB09-0EB0-479F-9DC6-92441356A93B}" type="presOf" srcId="{BD612D6F-45D6-4BC0-B795-94768AB55133}" destId="{E86C2651-E11A-4498-9D53-166E74FF17B9}" srcOrd="0" destOrd="0" presId="urn:microsoft.com/office/officeart/2005/8/layout/cycle5"/>
    <dgm:cxn modelId="{7E2BB103-CA93-4E2A-9651-847556CEA5EF}" srcId="{E871944C-5867-4E6A-99F3-4D808442C431}" destId="{B6A5B8F6-47BE-4E62-A766-54B58D346F5A}" srcOrd="1" destOrd="0" parTransId="{1CEBC0AD-8B6E-4228-B2D3-08A4F55AA13C}" sibTransId="{D4FE3AAE-5823-4DAA-9417-5F48562817B4}"/>
    <dgm:cxn modelId="{7D4516F4-E64D-4459-ADCA-36AAA9D53094}" type="presOf" srcId="{96C41BA8-01EC-46D0-9BB5-4FBE55B55965}" destId="{A0DCF704-97F4-491C-99E4-B22DE475ECBC}" srcOrd="0" destOrd="0" presId="urn:microsoft.com/office/officeart/2005/8/layout/cycle5"/>
    <dgm:cxn modelId="{D2D53C89-A6B1-4E53-A075-F23E5B4D1D15}" srcId="{E871944C-5867-4E6A-99F3-4D808442C431}" destId="{BD612D6F-45D6-4BC0-B795-94768AB55133}" srcOrd="3" destOrd="0" parTransId="{ADD1AE54-75DD-4104-8A32-30E763FD821C}" sibTransId="{23B9C6C4-77B7-4216-9083-27F23803A5CE}"/>
    <dgm:cxn modelId="{1404683F-9D2D-49E9-99CF-085A07DB041A}" type="presOf" srcId="{2BD80F86-AE38-4FBE-B1AD-60C693DF3F53}" destId="{C739F327-863F-4CAF-BC9E-B09D9781D135}" srcOrd="0" destOrd="0" presId="urn:microsoft.com/office/officeart/2005/8/layout/cycle5"/>
    <dgm:cxn modelId="{11DE9D56-63E2-4638-956B-B353B63C6229}" srcId="{E871944C-5867-4E6A-99F3-4D808442C431}" destId="{0A559945-08FB-4F0A-94C5-813C5E9B7B57}" srcOrd="4" destOrd="0" parTransId="{50ECCC72-B944-40D0-AF74-189138618338}" sibTransId="{5CCBB0B3-F71C-41CE-8BC9-CD3ED72A48CC}"/>
    <dgm:cxn modelId="{96D24E47-E3BA-4D1C-9400-14BA4A1B3578}" type="presOf" srcId="{6AEA0F9C-B106-47F9-AEA7-06B5DFD5BE5E}" destId="{6481CE65-4803-405D-8388-732CA3568EDD}" srcOrd="0" destOrd="0" presId="urn:microsoft.com/office/officeart/2005/8/layout/cycle5"/>
    <dgm:cxn modelId="{94CA1083-CEDC-4AB0-87D8-30A8DE117927}" type="presOf" srcId="{ECB404CE-9C83-4389-B7AA-F75FFAC07D8A}" destId="{C288C109-A9B3-45A6-8365-54D54D66CB09}" srcOrd="0" destOrd="0" presId="urn:microsoft.com/office/officeart/2005/8/layout/cycle5"/>
    <dgm:cxn modelId="{F764D9B2-E764-4B10-AC1C-D01A5A5EDE07}" type="presOf" srcId="{D4FE3AAE-5823-4DAA-9417-5F48562817B4}" destId="{C8916100-3BFF-46C6-B0B8-2292853084D2}" srcOrd="0" destOrd="0" presId="urn:microsoft.com/office/officeart/2005/8/layout/cycle5"/>
    <dgm:cxn modelId="{BE464EBF-C9A8-4F56-8689-B4644A5A08D4}" srcId="{E871944C-5867-4E6A-99F3-4D808442C431}" destId="{785E67E6-E300-4172-9C22-732083C169C5}" srcOrd="6" destOrd="0" parTransId="{59C43D7C-1976-4A46-9AA9-EE0AB971166B}" sibTransId="{96C41BA8-01EC-46D0-9BB5-4FBE55B55965}"/>
    <dgm:cxn modelId="{6C9D738D-1C1C-4930-96E5-749EB2E1BAFA}" srcId="{E871944C-5867-4E6A-99F3-4D808442C431}" destId="{F5ADB53E-1BAE-4D7D-BC0D-82E2A72D2B14}" srcOrd="2" destOrd="0" parTransId="{B4F5E74E-2EC2-49AB-9AF7-DD47D9163F75}" sibTransId="{6AEA0F9C-B106-47F9-AEA7-06B5DFD5BE5E}"/>
    <dgm:cxn modelId="{E45A2DD2-1E6E-4BF4-B6C5-AB858F23CB3C}" srcId="{E871944C-5867-4E6A-99F3-4D808442C431}" destId="{2BD80F86-AE38-4FBE-B1AD-60C693DF3F53}" srcOrd="5" destOrd="0" parTransId="{F4F77AF5-53C4-4BC2-92B5-6434A8964697}" sibTransId="{C83DBDE1-04C2-4BBC-ADC2-A59DAD2AA5B8}"/>
    <dgm:cxn modelId="{F5CC5667-399C-4A8E-8630-A554C60381B5}" type="presOf" srcId="{23B9C6C4-77B7-4216-9083-27F23803A5CE}" destId="{8F09556F-87B7-4082-B62E-7D1029B68742}" srcOrd="0" destOrd="0" presId="urn:microsoft.com/office/officeart/2005/8/layout/cycle5"/>
    <dgm:cxn modelId="{2B5D80C6-1534-4E2D-A3D9-6B373D43629C}" type="presOf" srcId="{5CCBB0B3-F71C-41CE-8BC9-CD3ED72A48CC}" destId="{1BC98A20-C467-40C0-9594-E1FC12CCDE1B}" srcOrd="0" destOrd="0" presId="urn:microsoft.com/office/officeart/2005/8/layout/cycle5"/>
    <dgm:cxn modelId="{D6589AA7-7CD6-4462-8AC6-54B14B569AA6}" type="presOf" srcId="{F5ADB53E-1BAE-4D7D-BC0D-82E2A72D2B14}" destId="{A2E5CC7E-7457-4061-9F49-377268E8D2CD}" srcOrd="0" destOrd="0" presId="urn:microsoft.com/office/officeart/2005/8/layout/cycle5"/>
    <dgm:cxn modelId="{FA21CF86-2739-4F97-A781-00432C2E8213}" type="presOf" srcId="{B6A5B8F6-47BE-4E62-A766-54B58D346F5A}" destId="{F52BC9AA-40C4-4F20-A4C9-8CAA0809477E}" srcOrd="0" destOrd="0" presId="urn:microsoft.com/office/officeart/2005/8/layout/cycle5"/>
    <dgm:cxn modelId="{DF490D6A-0469-452E-94CB-DEC85C365EA4}" type="presOf" srcId="{785E67E6-E300-4172-9C22-732083C169C5}" destId="{3DFDB747-2C6C-4826-8DB4-3EF4663BE090}" srcOrd="0" destOrd="0" presId="urn:microsoft.com/office/officeart/2005/8/layout/cycle5"/>
    <dgm:cxn modelId="{E679F465-0DB7-46AA-990F-65AA9D78EA6E}" type="presOf" srcId="{0A559945-08FB-4F0A-94C5-813C5E9B7B57}" destId="{9455699B-FB37-4FD2-ADD1-A12771A2AC0D}" srcOrd="0" destOrd="0" presId="urn:microsoft.com/office/officeart/2005/8/layout/cycle5"/>
    <dgm:cxn modelId="{276238CB-1FF4-44FE-A425-F092DCFFAC3C}" type="presOf" srcId="{E871944C-5867-4E6A-99F3-4D808442C431}" destId="{4338D61B-423B-4314-86A3-74F03C93E501}" srcOrd="0" destOrd="0" presId="urn:microsoft.com/office/officeart/2005/8/layout/cycle5"/>
    <dgm:cxn modelId="{C70A925A-0625-409A-A1AD-45B06B029E9D}" type="presOf" srcId="{C83DBDE1-04C2-4BBC-ADC2-A59DAD2AA5B8}" destId="{18B7AC17-946B-49A5-B67A-26F8AC208A19}" srcOrd="0" destOrd="0" presId="urn:microsoft.com/office/officeart/2005/8/layout/cycle5"/>
    <dgm:cxn modelId="{1BBFCF7C-016D-4F15-B67A-D37803E02983}" srcId="{E871944C-5867-4E6A-99F3-4D808442C431}" destId="{ECB404CE-9C83-4389-B7AA-F75FFAC07D8A}" srcOrd="0" destOrd="0" parTransId="{A78914FB-8598-43FB-A65C-FE1CA59C3327}" sibTransId="{2C3ADB92-4B86-4FE9-AE4A-5BDF5D57C073}"/>
    <dgm:cxn modelId="{75FDEB18-7ADA-4F8D-B927-C07B13FB78E1}" type="presParOf" srcId="{4338D61B-423B-4314-86A3-74F03C93E501}" destId="{C288C109-A9B3-45A6-8365-54D54D66CB09}" srcOrd="0" destOrd="0" presId="urn:microsoft.com/office/officeart/2005/8/layout/cycle5"/>
    <dgm:cxn modelId="{744F77B0-4704-44BE-BB57-24535DC02232}" type="presParOf" srcId="{4338D61B-423B-4314-86A3-74F03C93E501}" destId="{F947714E-E51E-4510-96D5-AFEAD6101528}" srcOrd="1" destOrd="0" presId="urn:microsoft.com/office/officeart/2005/8/layout/cycle5"/>
    <dgm:cxn modelId="{CA8AAC2C-5AE7-44B5-A13D-2DDCD8F58ECD}" type="presParOf" srcId="{4338D61B-423B-4314-86A3-74F03C93E501}" destId="{CDAE9544-15DF-43C4-8F6D-3EEF9786A544}" srcOrd="2" destOrd="0" presId="urn:microsoft.com/office/officeart/2005/8/layout/cycle5"/>
    <dgm:cxn modelId="{D05E93B0-AC5E-4C82-9512-CD37C3ADAD2F}" type="presParOf" srcId="{4338D61B-423B-4314-86A3-74F03C93E501}" destId="{F52BC9AA-40C4-4F20-A4C9-8CAA0809477E}" srcOrd="3" destOrd="0" presId="urn:microsoft.com/office/officeart/2005/8/layout/cycle5"/>
    <dgm:cxn modelId="{7F0A1C02-C17E-44A7-9ABE-865AF14360AC}" type="presParOf" srcId="{4338D61B-423B-4314-86A3-74F03C93E501}" destId="{4F4AA1ED-470C-4F11-8AC4-ED27BB2B0ED2}" srcOrd="4" destOrd="0" presId="urn:microsoft.com/office/officeart/2005/8/layout/cycle5"/>
    <dgm:cxn modelId="{EA4FD9DA-1C2B-4ABA-9D97-066E123FBE76}" type="presParOf" srcId="{4338D61B-423B-4314-86A3-74F03C93E501}" destId="{C8916100-3BFF-46C6-B0B8-2292853084D2}" srcOrd="5" destOrd="0" presId="urn:microsoft.com/office/officeart/2005/8/layout/cycle5"/>
    <dgm:cxn modelId="{A34A8E58-8687-4944-A58B-F10AAEF8E9DB}" type="presParOf" srcId="{4338D61B-423B-4314-86A3-74F03C93E501}" destId="{A2E5CC7E-7457-4061-9F49-377268E8D2CD}" srcOrd="6" destOrd="0" presId="urn:microsoft.com/office/officeart/2005/8/layout/cycle5"/>
    <dgm:cxn modelId="{A6AC211C-C174-40ED-9705-366628D4EDB6}" type="presParOf" srcId="{4338D61B-423B-4314-86A3-74F03C93E501}" destId="{C686284B-CD7A-43F3-9FB6-D8A62244B495}" srcOrd="7" destOrd="0" presId="urn:microsoft.com/office/officeart/2005/8/layout/cycle5"/>
    <dgm:cxn modelId="{B8895270-9FA6-4CB6-B22B-5037D768736D}" type="presParOf" srcId="{4338D61B-423B-4314-86A3-74F03C93E501}" destId="{6481CE65-4803-405D-8388-732CA3568EDD}" srcOrd="8" destOrd="0" presId="urn:microsoft.com/office/officeart/2005/8/layout/cycle5"/>
    <dgm:cxn modelId="{5FEBD5F2-44CA-4E57-856A-F505E3010672}" type="presParOf" srcId="{4338D61B-423B-4314-86A3-74F03C93E501}" destId="{E86C2651-E11A-4498-9D53-166E74FF17B9}" srcOrd="9" destOrd="0" presId="urn:microsoft.com/office/officeart/2005/8/layout/cycle5"/>
    <dgm:cxn modelId="{FF0A7E55-1776-4881-B051-F7324D4BD0D5}" type="presParOf" srcId="{4338D61B-423B-4314-86A3-74F03C93E501}" destId="{CACB9F71-7724-4D98-9DEE-D8C8B97D36DF}" srcOrd="10" destOrd="0" presId="urn:microsoft.com/office/officeart/2005/8/layout/cycle5"/>
    <dgm:cxn modelId="{FABD7F63-3D71-42BA-8B2B-7F96C3180BD6}" type="presParOf" srcId="{4338D61B-423B-4314-86A3-74F03C93E501}" destId="{8F09556F-87B7-4082-B62E-7D1029B68742}" srcOrd="11" destOrd="0" presId="urn:microsoft.com/office/officeart/2005/8/layout/cycle5"/>
    <dgm:cxn modelId="{442D564E-CE5B-4F5F-9EEA-AB4DA4733356}" type="presParOf" srcId="{4338D61B-423B-4314-86A3-74F03C93E501}" destId="{9455699B-FB37-4FD2-ADD1-A12771A2AC0D}" srcOrd="12" destOrd="0" presId="urn:microsoft.com/office/officeart/2005/8/layout/cycle5"/>
    <dgm:cxn modelId="{52E4F80E-8AE0-4EFA-BD13-B4EF66D74D3A}" type="presParOf" srcId="{4338D61B-423B-4314-86A3-74F03C93E501}" destId="{D190931E-9B15-4706-8571-B9D56C4817A9}" srcOrd="13" destOrd="0" presId="urn:microsoft.com/office/officeart/2005/8/layout/cycle5"/>
    <dgm:cxn modelId="{4CA28AFD-73FC-4D84-B2F5-A18A97E5156F}" type="presParOf" srcId="{4338D61B-423B-4314-86A3-74F03C93E501}" destId="{1BC98A20-C467-40C0-9594-E1FC12CCDE1B}" srcOrd="14" destOrd="0" presId="urn:microsoft.com/office/officeart/2005/8/layout/cycle5"/>
    <dgm:cxn modelId="{E1CD6D21-5FDA-4330-84FF-A8CB559D269E}" type="presParOf" srcId="{4338D61B-423B-4314-86A3-74F03C93E501}" destId="{C739F327-863F-4CAF-BC9E-B09D9781D135}" srcOrd="15" destOrd="0" presId="urn:microsoft.com/office/officeart/2005/8/layout/cycle5"/>
    <dgm:cxn modelId="{A0597268-451B-4FBB-BE2D-3FAC5FBA6D8F}" type="presParOf" srcId="{4338D61B-423B-4314-86A3-74F03C93E501}" destId="{04532B75-56A9-4DC1-90E6-5900BA3D9C01}" srcOrd="16" destOrd="0" presId="urn:microsoft.com/office/officeart/2005/8/layout/cycle5"/>
    <dgm:cxn modelId="{1A21818D-BB31-45EF-9493-8AADE74773D2}" type="presParOf" srcId="{4338D61B-423B-4314-86A3-74F03C93E501}" destId="{18B7AC17-946B-49A5-B67A-26F8AC208A19}" srcOrd="17" destOrd="0" presId="urn:microsoft.com/office/officeart/2005/8/layout/cycle5"/>
    <dgm:cxn modelId="{DD2FDE7E-73D2-43FE-AD9B-D1D4ED4641FB}" type="presParOf" srcId="{4338D61B-423B-4314-86A3-74F03C93E501}" destId="{3DFDB747-2C6C-4826-8DB4-3EF4663BE090}" srcOrd="18" destOrd="0" presId="urn:microsoft.com/office/officeart/2005/8/layout/cycle5"/>
    <dgm:cxn modelId="{D1432889-7285-4E40-8F99-FCD124729AE8}" type="presParOf" srcId="{4338D61B-423B-4314-86A3-74F03C93E501}" destId="{AA8FC306-AAC9-428C-9253-814BAA865536}" srcOrd="19" destOrd="0" presId="urn:microsoft.com/office/officeart/2005/8/layout/cycle5"/>
    <dgm:cxn modelId="{C573C301-C349-4EE7-9468-82D19911CCA8}" type="presParOf" srcId="{4338D61B-423B-4314-86A3-74F03C93E501}" destId="{A0DCF704-97F4-491C-99E4-B22DE475ECBC}" srcOrd="20" destOrd="0" presId="urn:microsoft.com/office/officeart/2005/8/layout/cycle5"/>
  </dgm:cxnLst>
  <dgm:bg/>
  <dgm:whole/>
  <dgm:extLst>
    <a:ext uri="http://schemas.microsoft.com/office/drawing/2008/diagram">
      <dsp:dataModelExt xmlns:dsp="http://schemas.microsoft.com/office/drawing/2008/diagram" xmlns="" relId="rId3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4C28722-9A06-4330-8C4E-8387D12989ED}">
      <dsp:nvSpPr>
        <dsp:cNvPr id="0" name=""/>
        <dsp:cNvSpPr/>
      </dsp:nvSpPr>
      <dsp:spPr>
        <a:xfrm rot="10800000" flipV="1">
          <a:off x="0" y="3161789"/>
          <a:ext cx="5274310" cy="277517"/>
        </a:xfrm>
        <a:prstGeom prst="rect">
          <a:avLst/>
        </a:prstGeom>
        <a:solidFill>
          <a:schemeClr val="accent1">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baseline="0">
              <a:solidFill>
                <a:sysClr val="windowText" lastClr="000000"/>
              </a:solidFill>
              <a:latin typeface="Times New Roman" pitchFamily="18" charset="0"/>
              <a:cs typeface="+mj-cs"/>
            </a:rPr>
            <a:t>The Legal Age</a:t>
          </a:r>
        </a:p>
      </dsp:txBody>
      <dsp:txXfrm rot="10800000" flipV="1">
        <a:off x="0" y="3161789"/>
        <a:ext cx="5274310" cy="277517"/>
      </dsp:txXfrm>
    </dsp:sp>
    <dsp:sp modelId="{41FC6F27-ABE0-4B79-84C5-D8CE17F9078C}">
      <dsp:nvSpPr>
        <dsp:cNvPr id="0" name=""/>
        <dsp:cNvSpPr/>
      </dsp:nvSpPr>
      <dsp:spPr>
        <a:xfrm>
          <a:off x="0" y="1200166"/>
          <a:ext cx="1063618" cy="1907285"/>
        </a:xfrm>
        <a:prstGeom prst="rect">
          <a:avLst/>
        </a:prstGeom>
        <a:solidFill>
          <a:schemeClr val="accent2">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en-US" sz="1050" kern="1200">
              <a:solidFill>
                <a:srgbClr val="002060"/>
              </a:solidFill>
              <a:latin typeface="Times New Roman" pitchFamily="18" charset="0"/>
              <a:cs typeface="+mj-cs"/>
            </a:rPr>
            <a:t>6 years</a:t>
          </a:r>
        </a:p>
        <a:p>
          <a:pPr lvl="0" algn="ctr" defTabSz="466725">
            <a:lnSpc>
              <a:spcPct val="90000"/>
            </a:lnSpc>
            <a:spcBef>
              <a:spcPct val="0"/>
            </a:spcBef>
            <a:spcAft>
              <a:spcPct val="35000"/>
            </a:spcAft>
          </a:pPr>
          <a:endParaRPr lang="en-US" sz="1050" kern="1200">
            <a:solidFill>
              <a:srgbClr val="002060"/>
            </a:solidFill>
            <a:latin typeface="Times New Roman" pitchFamily="18" charset="0"/>
            <a:cs typeface="+mj-cs"/>
          </a:endParaRPr>
        </a:p>
        <a:p>
          <a:pPr lvl="0" algn="l" defTabSz="466725" rtl="0">
            <a:lnSpc>
              <a:spcPct val="90000"/>
            </a:lnSpc>
            <a:spcBef>
              <a:spcPct val="0"/>
            </a:spcBef>
            <a:spcAft>
              <a:spcPct val="35000"/>
            </a:spcAft>
          </a:pPr>
          <a:r>
            <a:rPr lang="en-US" sz="1050" kern="1200">
              <a:solidFill>
                <a:srgbClr val="002060"/>
              </a:solidFill>
              <a:latin typeface="Times New Roman"/>
              <a:cs typeface="Times New Roman"/>
            </a:rPr>
            <a:t>• </a:t>
          </a:r>
          <a:r>
            <a:rPr lang="en-US" sz="1050" kern="1200">
              <a:solidFill>
                <a:sysClr val="windowText" lastClr="000000"/>
              </a:solidFill>
              <a:cs typeface="+mj-cs"/>
            </a:rPr>
            <a:t>F</a:t>
          </a:r>
          <a:r>
            <a:rPr lang="en-US" sz="1050" kern="1200">
              <a:solidFill>
                <a:sysClr val="windowText" lastClr="000000"/>
              </a:solidFill>
              <a:latin typeface="Times New Roman" pitchFamily="18" charset="0"/>
              <a:cs typeface="+mj-cs"/>
            </a:rPr>
            <a:t>ree health services up to age of six years</a:t>
          </a:r>
        </a:p>
        <a:p>
          <a:pPr lvl="0" algn="l" defTabSz="466725">
            <a:lnSpc>
              <a:spcPct val="90000"/>
            </a:lnSpc>
            <a:spcBef>
              <a:spcPct val="0"/>
            </a:spcBef>
            <a:spcAft>
              <a:spcPct val="35000"/>
            </a:spcAft>
          </a:pPr>
          <a:endParaRPr lang="en-US" sz="1050" kern="1200">
            <a:solidFill>
              <a:srgbClr val="002060"/>
            </a:solidFill>
            <a:latin typeface="Times New Roman" pitchFamily="18" charset="0"/>
            <a:cs typeface="+mj-cs"/>
          </a:endParaRPr>
        </a:p>
        <a:p>
          <a:pPr lvl="0" algn="l" defTabSz="466725" rtl="0">
            <a:lnSpc>
              <a:spcPct val="90000"/>
            </a:lnSpc>
            <a:spcBef>
              <a:spcPct val="0"/>
            </a:spcBef>
            <a:spcAft>
              <a:spcPct val="35000"/>
            </a:spcAft>
          </a:pPr>
          <a:r>
            <a:rPr lang="en-US" sz="1050" kern="1200">
              <a:solidFill>
                <a:srgbClr val="002060"/>
              </a:solidFill>
              <a:latin typeface="Times New Roman"/>
              <a:cs typeface="Times New Roman"/>
            </a:rPr>
            <a:t>• </a:t>
          </a:r>
          <a:r>
            <a:rPr lang="en-US" sz="1050" kern="1200">
              <a:solidFill>
                <a:sysClr val="windowText" lastClr="000000"/>
              </a:solidFill>
              <a:latin typeface="Times New Roman" pitchFamily="18" charset="0"/>
              <a:cs typeface="+mj-cs"/>
            </a:rPr>
            <a:t>Beginning of the age of compulsory  basic education</a:t>
          </a:r>
        </a:p>
        <a:p>
          <a:pPr marL="114300" lvl="1" indent="-114300" algn="l" defTabSz="666750">
            <a:lnSpc>
              <a:spcPct val="90000"/>
            </a:lnSpc>
            <a:spcBef>
              <a:spcPct val="0"/>
            </a:spcBef>
            <a:spcAft>
              <a:spcPct val="15000"/>
            </a:spcAft>
            <a:buChar char="••"/>
          </a:pPr>
          <a:endParaRPr lang="en-US" sz="1500" kern="1200">
            <a:solidFill>
              <a:srgbClr val="002060"/>
            </a:solidFill>
          </a:endParaRPr>
        </a:p>
      </dsp:txBody>
      <dsp:txXfrm>
        <a:off x="0" y="1200166"/>
        <a:ext cx="1063618" cy="1907285"/>
      </dsp:txXfrm>
    </dsp:sp>
    <dsp:sp modelId="{FCEA540D-1867-437E-AF1D-48BD2BF5695C}">
      <dsp:nvSpPr>
        <dsp:cNvPr id="0" name=""/>
        <dsp:cNvSpPr/>
      </dsp:nvSpPr>
      <dsp:spPr>
        <a:xfrm>
          <a:off x="1059112" y="901443"/>
          <a:ext cx="1063618" cy="2222896"/>
        </a:xfrm>
        <a:prstGeom prst="rect">
          <a:avLst/>
        </a:prstGeom>
        <a:solidFill>
          <a:schemeClr val="accent4">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ar-SA" sz="1050" kern="1200">
              <a:solidFill>
                <a:srgbClr val="002060"/>
              </a:solidFill>
              <a:latin typeface="Times New Roman" pitchFamily="18" charset="0"/>
              <a:cs typeface="Times New Roman" pitchFamily="18" charset="0"/>
            </a:rPr>
            <a:t>12</a:t>
          </a:r>
          <a:r>
            <a:rPr lang="en-US" sz="1050" kern="1200">
              <a:solidFill>
                <a:srgbClr val="002060"/>
              </a:solidFill>
              <a:latin typeface="Times New Roman" pitchFamily="18" charset="0"/>
              <a:cs typeface="Times New Roman" pitchFamily="18" charset="0"/>
            </a:rPr>
            <a:t> years</a:t>
          </a:r>
        </a:p>
        <a:p>
          <a:pPr lvl="0" algn="ctr" defTabSz="466725">
            <a:lnSpc>
              <a:spcPct val="90000"/>
            </a:lnSpc>
            <a:spcBef>
              <a:spcPct val="0"/>
            </a:spcBef>
            <a:spcAft>
              <a:spcPct val="35000"/>
            </a:spcAft>
          </a:pPr>
          <a:endParaRPr lang="en-US" sz="1050" kern="1200">
            <a:solidFill>
              <a:srgbClr val="002060"/>
            </a:solidFill>
            <a:latin typeface="Times New Roman" pitchFamily="18" charset="0"/>
            <a:cs typeface="Times New Roman" pitchFamily="18" charset="0"/>
          </a:endParaRP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of criminal responsibility and eligibility to go to court</a:t>
          </a:r>
        </a:p>
      </dsp:txBody>
      <dsp:txXfrm>
        <a:off x="1059112" y="901443"/>
        <a:ext cx="1063618" cy="2222896"/>
      </dsp:txXfrm>
    </dsp:sp>
    <dsp:sp modelId="{0041BE44-3C59-4FA8-99E0-DD0F10BEC3DC}">
      <dsp:nvSpPr>
        <dsp:cNvPr id="0" name=""/>
        <dsp:cNvSpPr/>
      </dsp:nvSpPr>
      <dsp:spPr>
        <a:xfrm>
          <a:off x="2087790" y="638905"/>
          <a:ext cx="1063618" cy="2469756"/>
        </a:xfrm>
        <a:prstGeom prst="rect">
          <a:avLst/>
        </a:prstGeom>
        <a:solidFill>
          <a:srgbClr val="FFFF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en-US" sz="1050" kern="1200">
              <a:solidFill>
                <a:srgbClr val="002060"/>
              </a:solidFill>
              <a:latin typeface="Times New Roman" pitchFamily="18" charset="0"/>
              <a:cs typeface="+mj-cs"/>
            </a:rPr>
            <a:t>15 years</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mj-cs"/>
            </a:rPr>
            <a:t>Minimum age to join labor market</a:t>
          </a:r>
        </a:p>
        <a:p>
          <a:pPr marL="114300" lvl="2"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mj-cs"/>
            </a:rPr>
            <a:t>Minimum age to testify in court</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mj-cs"/>
            </a:rPr>
            <a:t>Minimum age for marriage for females in  West Bank (in Gaza 17 years </a:t>
          </a:r>
          <a:r>
            <a:rPr lang="en-US" sz="1050" kern="1200">
              <a:solidFill>
                <a:sysClr val="windowText" lastClr="000000"/>
              </a:solidFill>
              <a:latin typeface="Times New Roman" pitchFamily="18" charset="0"/>
              <a:cs typeface="Times New Roman" pitchFamily="18" charset="0"/>
            </a:rPr>
            <a:t>Hijri Calender</a:t>
          </a:r>
          <a:r>
            <a:rPr lang="en-US" sz="1050" kern="1200">
              <a:solidFill>
                <a:sysClr val="windowText" lastClr="000000"/>
              </a:solidFill>
              <a:latin typeface="Times New Roman" pitchFamily="18" charset="0"/>
              <a:cs typeface="+mj-cs"/>
            </a:rPr>
            <a:t>) </a:t>
          </a:r>
        </a:p>
        <a:p>
          <a:pPr marL="114300" lvl="2" indent="-57150" algn="l" defTabSz="466725" rtl="0">
            <a:lnSpc>
              <a:spcPct val="90000"/>
            </a:lnSpc>
            <a:spcBef>
              <a:spcPct val="0"/>
            </a:spcBef>
            <a:spcAft>
              <a:spcPct val="15000"/>
            </a:spcAft>
            <a:buChar char="••"/>
          </a:pPr>
          <a:r>
            <a:rPr lang="en-US" sz="1050" kern="1200" baseline="0">
              <a:solidFill>
                <a:sysClr val="windowText" lastClr="000000"/>
              </a:solidFill>
              <a:latin typeface="Times New Roman" pitchFamily="18" charset="0"/>
              <a:cs typeface="+mj-cs"/>
            </a:rPr>
            <a:t>End of  compulsory basic </a:t>
          </a:r>
          <a:r>
            <a:rPr lang="en-US" sz="1100" kern="1200" baseline="0">
              <a:solidFill>
                <a:sysClr val="windowText" lastClr="000000"/>
              </a:solidFill>
              <a:latin typeface="Times New Roman" pitchFamily="18" charset="0"/>
              <a:cs typeface="+mj-cs"/>
            </a:rPr>
            <a:t>education</a:t>
          </a:r>
        </a:p>
      </dsp:txBody>
      <dsp:txXfrm>
        <a:off x="2087790" y="638905"/>
        <a:ext cx="1063618" cy="2469756"/>
      </dsp:txXfrm>
    </dsp:sp>
    <dsp:sp modelId="{46D985C8-4534-490D-97CC-50D9817A3009}">
      <dsp:nvSpPr>
        <dsp:cNvPr id="0" name=""/>
        <dsp:cNvSpPr/>
      </dsp:nvSpPr>
      <dsp:spPr>
        <a:xfrm>
          <a:off x="3168278" y="398764"/>
          <a:ext cx="1011724" cy="2706391"/>
        </a:xfrm>
        <a:prstGeom prst="rect">
          <a:avLst/>
        </a:prstGeom>
        <a:solidFill>
          <a:schemeClr val="accent6">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ar-SA" sz="1050" kern="1200">
              <a:solidFill>
                <a:srgbClr val="002060"/>
              </a:solidFill>
              <a:latin typeface="Times New Roman" pitchFamily="18" charset="0"/>
              <a:cs typeface="Times New Roman" pitchFamily="18" charset="0"/>
            </a:rPr>
            <a:t>16</a:t>
          </a:r>
          <a:r>
            <a:rPr lang="en-US" sz="1050" kern="1200">
              <a:solidFill>
                <a:srgbClr val="002060"/>
              </a:solidFill>
              <a:latin typeface="Times New Roman" pitchFamily="18" charset="0"/>
              <a:cs typeface="Times New Roman" pitchFamily="18" charset="0"/>
            </a:rPr>
            <a:t> years</a:t>
          </a:r>
        </a:p>
        <a:p>
          <a:pPr lvl="0" algn="ctr" defTabSz="466725">
            <a:lnSpc>
              <a:spcPct val="90000"/>
            </a:lnSpc>
            <a:spcBef>
              <a:spcPct val="0"/>
            </a:spcBef>
            <a:spcAft>
              <a:spcPct val="35000"/>
            </a:spcAft>
          </a:pPr>
          <a:endParaRPr lang="en-US" sz="1050" kern="1200">
            <a:solidFill>
              <a:srgbClr val="002060"/>
            </a:solidFill>
            <a:latin typeface="Times New Roman" pitchFamily="18" charset="0"/>
            <a:cs typeface="Times New Roman" pitchFamily="18" charset="0"/>
          </a:endParaRP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for marriage for males in  West Bank ( in Gaza 18 years old Hijri Calender)</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to access  inherited funds</a:t>
          </a:r>
        </a:p>
      </dsp:txBody>
      <dsp:txXfrm>
        <a:off x="3168278" y="398764"/>
        <a:ext cx="1011724" cy="2706391"/>
      </dsp:txXfrm>
    </dsp:sp>
    <dsp:sp modelId="{FEB7EF2C-EEAB-4FA5-A9F3-32E6818326D7}">
      <dsp:nvSpPr>
        <dsp:cNvPr id="0" name=""/>
        <dsp:cNvSpPr/>
      </dsp:nvSpPr>
      <dsp:spPr>
        <a:xfrm>
          <a:off x="4202884" y="244623"/>
          <a:ext cx="1071425" cy="2857036"/>
        </a:xfrm>
        <a:prstGeom prst="rect">
          <a:avLst/>
        </a:prstGeom>
        <a:solidFill>
          <a:schemeClr val="accent3">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en-US" sz="1050" kern="1200">
              <a:solidFill>
                <a:srgbClr val="002060"/>
              </a:solidFill>
              <a:latin typeface="Times New Roman" pitchFamily="18" charset="0"/>
              <a:cs typeface="Times New Roman" pitchFamily="18" charset="0"/>
            </a:rPr>
            <a:t>18 years</a:t>
          </a:r>
        </a:p>
        <a:p>
          <a:pPr lvl="0" algn="l" defTabSz="466725" rtl="0">
            <a:lnSpc>
              <a:spcPct val="90000"/>
            </a:lnSpc>
            <a:spcBef>
              <a:spcPct val="0"/>
            </a:spcBef>
            <a:spcAft>
              <a:spcPct val="35000"/>
            </a:spcAft>
          </a:pPr>
          <a:r>
            <a:rPr lang="en-US" sz="1050" kern="1200">
              <a:solidFill>
                <a:sysClr val="windowText" lastClr="000000"/>
              </a:solidFill>
              <a:latin typeface="Times New Roman" pitchFamily="18" charset="0"/>
              <a:cs typeface="Times New Roman" pitchFamily="18" charset="0"/>
            </a:rPr>
            <a:t>Minimum age for voting in general / local elections</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for military recruitment</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for forming  associations</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to buy cigarettes and alcohol</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to obtain a driver's license</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Full rights as an adult</a:t>
          </a:r>
        </a:p>
      </dsp:txBody>
      <dsp:txXfrm>
        <a:off x="4202884" y="244623"/>
        <a:ext cx="1071425" cy="2857036"/>
      </dsp:txXfrm>
    </dsp:sp>
    <dsp:sp modelId="{2B4A5F56-0BA1-4DCE-852B-CEC560521A7D}">
      <dsp:nvSpPr>
        <dsp:cNvPr id="0" name=""/>
        <dsp:cNvSpPr/>
      </dsp:nvSpPr>
      <dsp:spPr>
        <a:xfrm>
          <a:off x="0" y="0"/>
          <a:ext cx="5274310" cy="200352"/>
        </a:xfrm>
        <a:prstGeom prst="rect">
          <a:avLst/>
        </a:prstGeom>
        <a:blipFill rotWithShape="0">
          <a:blip xmlns:r="http://schemas.openxmlformats.org/officeDocument/2006/relationships" r:embed="rId1"/>
          <a:stretch>
            <a:fillRect/>
          </a:stretch>
        </a:blipFill>
        <a:ln>
          <a:noFill/>
        </a:ln>
        <a:effectLst/>
      </dsp:spPr>
      <dsp:style>
        <a:lnRef idx="0">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2EF1D28-766C-4C81-B03A-9A6B46DE976B}">
      <dsp:nvSpPr>
        <dsp:cNvPr id="0" name=""/>
        <dsp:cNvSpPr/>
      </dsp:nvSpPr>
      <dsp:spPr>
        <a:xfrm>
          <a:off x="2228132" y="756"/>
          <a:ext cx="1295403" cy="5842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Monitoring national indicators</a:t>
          </a:r>
        </a:p>
      </dsp:txBody>
      <dsp:txXfrm>
        <a:off x="2228132" y="756"/>
        <a:ext cx="1295403" cy="584299"/>
      </dsp:txXfrm>
    </dsp:sp>
    <dsp:sp modelId="{119182A7-0D43-4024-AC0A-DD090DDF4031}">
      <dsp:nvSpPr>
        <dsp:cNvPr id="0" name=""/>
        <dsp:cNvSpPr/>
      </dsp:nvSpPr>
      <dsp:spPr>
        <a:xfrm rot="2775926">
          <a:off x="3427044" y="964817"/>
          <a:ext cx="1056201" cy="204504"/>
        </a:xfrm>
        <a:prstGeom prst="leftRightArrow">
          <a:avLst>
            <a:gd name="adj1" fmla="val 60000"/>
            <a:gd name="adj2" fmla="val 50000"/>
          </a:avLst>
        </a:prstGeom>
        <a:solidFill>
          <a:schemeClr val="accent2">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rot="2775926">
        <a:off x="3427044" y="964817"/>
        <a:ext cx="1056201" cy="204504"/>
      </dsp:txXfrm>
    </dsp:sp>
    <dsp:sp modelId="{BA1C2664-57B8-42BD-903C-E8E9A039B508}">
      <dsp:nvSpPr>
        <dsp:cNvPr id="0" name=""/>
        <dsp:cNvSpPr/>
      </dsp:nvSpPr>
      <dsp:spPr>
        <a:xfrm>
          <a:off x="3694331" y="1577481"/>
          <a:ext cx="1380149" cy="584299"/>
        </a:xfrm>
        <a:prstGeom prst="roundRect">
          <a:avLst>
            <a:gd name="adj" fmla="val 1000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Monitoring and docuemnting viiolations</a:t>
          </a:r>
        </a:p>
      </dsp:txBody>
      <dsp:txXfrm>
        <a:off x="3694331" y="1577481"/>
        <a:ext cx="1380149" cy="584299"/>
      </dsp:txXfrm>
    </dsp:sp>
    <dsp:sp modelId="{7DBD5F4F-F2B8-45A7-B3D5-34500B157BAD}">
      <dsp:nvSpPr>
        <dsp:cNvPr id="0" name=""/>
        <dsp:cNvSpPr/>
      </dsp:nvSpPr>
      <dsp:spPr>
        <a:xfrm rot="10800432">
          <a:off x="2349876" y="1790507"/>
          <a:ext cx="1164852" cy="209643"/>
        </a:xfrm>
        <a:prstGeom prst="leftRightArrow">
          <a:avLst>
            <a:gd name="adj1" fmla="val 60000"/>
            <a:gd name="adj2" fmla="val 50000"/>
          </a:avLst>
        </a:prstGeom>
        <a:solidFill>
          <a:schemeClr val="accent3">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10800432">
        <a:off x="2349876" y="1790507"/>
        <a:ext cx="1164852" cy="209643"/>
      </dsp:txXfrm>
    </dsp:sp>
    <dsp:sp modelId="{D3F221D1-D3E6-43A6-AFBC-888DF2C44169}">
      <dsp:nvSpPr>
        <dsp:cNvPr id="0" name=""/>
        <dsp:cNvSpPr/>
      </dsp:nvSpPr>
      <dsp:spPr>
        <a:xfrm>
          <a:off x="802978" y="1577117"/>
          <a:ext cx="1377286" cy="584299"/>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Identifying gaps and taking action</a:t>
          </a:r>
        </a:p>
      </dsp:txBody>
      <dsp:txXfrm>
        <a:off x="802978" y="1577117"/>
        <a:ext cx="1377286" cy="584299"/>
      </dsp:txXfrm>
    </dsp:sp>
    <dsp:sp modelId="{A307A04D-1EFD-47E1-BF4F-9BDF59A00007}">
      <dsp:nvSpPr>
        <dsp:cNvPr id="0" name=""/>
        <dsp:cNvSpPr/>
      </dsp:nvSpPr>
      <dsp:spPr>
        <a:xfrm rot="18677194">
          <a:off x="1326018" y="959785"/>
          <a:ext cx="1056201" cy="204504"/>
        </a:xfrm>
        <a:prstGeom prst="leftRightArrow">
          <a:avLst>
            <a:gd name="adj1" fmla="val 60000"/>
            <a:gd name="adj2" fmla="val 50000"/>
          </a:avLst>
        </a:prstGeom>
        <a:solidFill>
          <a:schemeClr val="accent4">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rot="18677194">
        <a:off x="1326018" y="959785"/>
        <a:ext cx="1056201" cy="204504"/>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288C109-A9B3-45A6-8365-54D54D66CB09}">
      <dsp:nvSpPr>
        <dsp:cNvPr id="0" name=""/>
        <dsp:cNvSpPr/>
      </dsp:nvSpPr>
      <dsp:spPr>
        <a:xfrm>
          <a:off x="2286001" y="-66290"/>
          <a:ext cx="1280465" cy="700732"/>
        </a:xfrm>
        <a:prstGeom prst="roundRect">
          <a:avLst/>
        </a:prstGeom>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45720" tIns="45720" rIns="45720" bIns="45720" numCol="1" spcCol="1270" anchor="ctr" anchorCtr="0">
          <a:noAutofit/>
        </a:bodyPr>
        <a:lstStyle/>
        <a:p>
          <a:pPr lvl="0" algn="ctr" defTabSz="533400" rtl="0">
            <a:lnSpc>
              <a:spcPct val="90000"/>
            </a:lnSpc>
            <a:spcBef>
              <a:spcPct val="0"/>
            </a:spcBef>
            <a:spcAft>
              <a:spcPct val="35000"/>
            </a:spcAft>
          </a:pPr>
          <a:r>
            <a:rPr lang="en-US" sz="1200" kern="1200"/>
            <a:t>set clear indicators for children's rights</a:t>
          </a:r>
        </a:p>
      </dsp:txBody>
      <dsp:txXfrm>
        <a:off x="2286001" y="-66290"/>
        <a:ext cx="1280465" cy="700732"/>
      </dsp:txXfrm>
    </dsp:sp>
    <dsp:sp modelId="{CDAE9544-15DF-43C4-8F6D-3EEF9786A544}">
      <dsp:nvSpPr>
        <dsp:cNvPr id="0" name=""/>
        <dsp:cNvSpPr/>
      </dsp:nvSpPr>
      <dsp:spPr>
        <a:xfrm>
          <a:off x="1364244" y="361974"/>
          <a:ext cx="3508997" cy="3508997"/>
        </a:xfrm>
        <a:custGeom>
          <a:avLst/>
          <a:gdLst/>
          <a:ahLst/>
          <a:cxnLst/>
          <a:rect l="0" t="0" r="0" b="0"/>
          <a:pathLst>
            <a:path>
              <a:moveTo>
                <a:pt x="2260026" y="74407"/>
              </a:moveTo>
              <a:arcTo wR="1754498" hR="1754498" stAng="17204771" swAng="353805"/>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F52BC9AA-40C4-4F20-A4C9-8CAA0809477E}">
      <dsp:nvSpPr>
        <dsp:cNvPr id="0" name=""/>
        <dsp:cNvSpPr/>
      </dsp:nvSpPr>
      <dsp:spPr>
        <a:xfrm>
          <a:off x="3720712" y="521277"/>
          <a:ext cx="1267622" cy="960368"/>
        </a:xfrm>
        <a:prstGeom prst="roundRect">
          <a:avLst/>
        </a:prstGeom>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45720" tIns="45720" rIns="45720" bIns="45720" numCol="1" spcCol="1270" anchor="ctr" anchorCtr="0">
          <a:noAutofit/>
        </a:bodyPr>
        <a:lstStyle/>
        <a:p>
          <a:pPr lvl="0" algn="ctr" defTabSz="533400" rtl="0">
            <a:lnSpc>
              <a:spcPct val="90000"/>
            </a:lnSpc>
            <a:spcBef>
              <a:spcPct val="0"/>
            </a:spcBef>
            <a:spcAft>
              <a:spcPct val="35000"/>
            </a:spcAft>
          </a:pPr>
          <a:r>
            <a:rPr lang="en-US" sz="1200" kern="1200"/>
            <a:t>implement reliable data collection process</a:t>
          </a:r>
        </a:p>
      </dsp:txBody>
      <dsp:txXfrm>
        <a:off x="3720712" y="521277"/>
        <a:ext cx="1267622" cy="960368"/>
      </dsp:txXfrm>
    </dsp:sp>
    <dsp:sp modelId="{C8916100-3BFF-46C6-B0B8-2292853084D2}">
      <dsp:nvSpPr>
        <dsp:cNvPr id="0" name=""/>
        <dsp:cNvSpPr/>
      </dsp:nvSpPr>
      <dsp:spPr>
        <a:xfrm>
          <a:off x="1134309" y="133146"/>
          <a:ext cx="3508997" cy="3508997"/>
        </a:xfrm>
        <a:custGeom>
          <a:avLst/>
          <a:gdLst/>
          <a:ahLst/>
          <a:cxnLst/>
          <a:rect l="0" t="0" r="0" b="0"/>
          <a:pathLst>
            <a:path>
              <a:moveTo>
                <a:pt x="3481430" y="1444704"/>
              </a:moveTo>
              <a:arcTo wR="1754498" hR="1754498" stAng="20989794" swAng="580913"/>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A2E5CC7E-7457-4061-9F49-377268E8D2CD}">
      <dsp:nvSpPr>
        <dsp:cNvPr id="0" name=""/>
        <dsp:cNvSpPr/>
      </dsp:nvSpPr>
      <dsp:spPr>
        <a:xfrm>
          <a:off x="3924575" y="1970948"/>
          <a:ext cx="1348132" cy="916077"/>
        </a:xfrm>
        <a:prstGeom prst="roundRect">
          <a:avLst/>
        </a:prstGeom>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45720" tIns="45720" rIns="45720" bIns="45720" numCol="1" spcCol="1270" anchor="ctr" anchorCtr="0">
          <a:noAutofit/>
        </a:bodyPr>
        <a:lstStyle/>
        <a:p>
          <a:pPr lvl="0" algn="ctr" defTabSz="533400" rtl="0">
            <a:lnSpc>
              <a:spcPct val="90000"/>
            </a:lnSpc>
            <a:spcBef>
              <a:spcPct val="0"/>
            </a:spcBef>
            <a:spcAft>
              <a:spcPct val="35000"/>
            </a:spcAft>
          </a:pPr>
          <a:r>
            <a:rPr lang="en-US" sz="1200" kern="1200"/>
            <a:t>Monitor and report on progress and violations of children's rights</a:t>
          </a:r>
        </a:p>
      </dsp:txBody>
      <dsp:txXfrm>
        <a:off x="3924575" y="1970948"/>
        <a:ext cx="1348132" cy="916077"/>
      </dsp:txXfrm>
    </dsp:sp>
    <dsp:sp modelId="{6481CE65-4803-405D-8388-732CA3568EDD}">
      <dsp:nvSpPr>
        <dsp:cNvPr id="0" name=""/>
        <dsp:cNvSpPr/>
      </dsp:nvSpPr>
      <dsp:spPr>
        <a:xfrm>
          <a:off x="1078345" y="392933"/>
          <a:ext cx="3508997" cy="3508997"/>
        </a:xfrm>
        <a:custGeom>
          <a:avLst/>
          <a:gdLst/>
          <a:ahLst/>
          <a:cxnLst/>
          <a:rect l="0" t="0" r="0" b="0"/>
          <a:pathLst>
            <a:path>
              <a:moveTo>
                <a:pt x="3312235" y="2561790"/>
              </a:moveTo>
              <a:arcTo wR="1754498" hR="1754498" stAng="1643718" swAng="444835"/>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E86C2651-E11A-4498-9D53-166E74FF17B9}">
      <dsp:nvSpPr>
        <dsp:cNvPr id="0" name=""/>
        <dsp:cNvSpPr/>
      </dsp:nvSpPr>
      <dsp:spPr>
        <a:xfrm>
          <a:off x="3057134" y="3209969"/>
          <a:ext cx="1336907" cy="799685"/>
        </a:xfrm>
        <a:prstGeom prst="round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45720" tIns="45720" rIns="45720" bIns="45720" numCol="1" spcCol="1270" anchor="ctr" anchorCtr="0">
          <a:noAutofit/>
        </a:bodyPr>
        <a:lstStyle/>
        <a:p>
          <a:pPr lvl="0" algn="ctr" defTabSz="533400" rtl="0">
            <a:lnSpc>
              <a:spcPct val="90000"/>
            </a:lnSpc>
            <a:spcBef>
              <a:spcPct val="0"/>
            </a:spcBef>
            <a:spcAft>
              <a:spcPct val="35000"/>
            </a:spcAft>
          </a:pPr>
          <a:r>
            <a:rPr lang="en-US" sz="1200" kern="1200"/>
            <a:t>State report on status of children's rights</a:t>
          </a:r>
        </a:p>
      </dsp:txBody>
      <dsp:txXfrm>
        <a:off x="3057134" y="3209969"/>
        <a:ext cx="1336907" cy="799685"/>
      </dsp:txXfrm>
    </dsp:sp>
    <dsp:sp modelId="{8F09556F-87B7-4082-B62E-7D1029B68742}">
      <dsp:nvSpPr>
        <dsp:cNvPr id="0" name=""/>
        <dsp:cNvSpPr/>
      </dsp:nvSpPr>
      <dsp:spPr>
        <a:xfrm>
          <a:off x="1323481" y="302144"/>
          <a:ext cx="3508997" cy="3508997"/>
        </a:xfrm>
        <a:custGeom>
          <a:avLst/>
          <a:gdLst/>
          <a:ahLst/>
          <a:cxnLst/>
          <a:rect l="0" t="0" r="0" b="0"/>
          <a:pathLst>
            <a:path>
              <a:moveTo>
                <a:pt x="1685499" y="3507639"/>
              </a:moveTo>
              <a:arcTo wR="1754498" hR="1754498" stAng="5535231" swAng="283522"/>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9455699B-FB37-4FD2-ADD1-A12771A2AC0D}">
      <dsp:nvSpPr>
        <dsp:cNvPr id="0" name=""/>
        <dsp:cNvSpPr/>
      </dsp:nvSpPr>
      <dsp:spPr>
        <a:xfrm>
          <a:off x="1436702" y="3224668"/>
          <a:ext cx="1380363" cy="789308"/>
        </a:xfrm>
        <a:prstGeom prst="roundRect">
          <a:avLst/>
        </a:prstGeom>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2"/>
        </a:lnRef>
        <a:fillRef idx="3">
          <a:schemeClr val="accent2"/>
        </a:fillRef>
        <a:effectRef idx="3">
          <a:schemeClr val="accent2"/>
        </a:effectRef>
        <a:fontRef idx="minor">
          <a:schemeClr val="lt1"/>
        </a:fontRef>
      </dsp:style>
      <dsp:txBody>
        <a:bodyPr spcFirstLastPara="0" vert="horz" wrap="square" lIns="45720" tIns="45720" rIns="45720" bIns="45720" numCol="1" spcCol="1270" anchor="ctr" anchorCtr="0">
          <a:noAutofit/>
        </a:bodyPr>
        <a:lstStyle/>
        <a:p>
          <a:pPr lvl="0" algn="ctr" defTabSz="533400" rtl="0">
            <a:lnSpc>
              <a:spcPct val="90000"/>
            </a:lnSpc>
            <a:spcBef>
              <a:spcPct val="0"/>
            </a:spcBef>
            <a:spcAft>
              <a:spcPct val="35000"/>
            </a:spcAft>
          </a:pPr>
          <a:r>
            <a:rPr lang="en-US" sz="1200" kern="1200"/>
            <a:t>National action to address violations of children's rights</a:t>
          </a:r>
        </a:p>
      </dsp:txBody>
      <dsp:txXfrm>
        <a:off x="1436702" y="3224668"/>
        <a:ext cx="1380363" cy="789308"/>
      </dsp:txXfrm>
    </dsp:sp>
    <dsp:sp modelId="{1BC98A20-C467-40C0-9594-E1FC12CCDE1B}">
      <dsp:nvSpPr>
        <dsp:cNvPr id="0" name=""/>
        <dsp:cNvSpPr/>
      </dsp:nvSpPr>
      <dsp:spPr>
        <a:xfrm>
          <a:off x="1133634" y="284075"/>
          <a:ext cx="3508997" cy="3508997"/>
        </a:xfrm>
        <a:custGeom>
          <a:avLst/>
          <a:gdLst/>
          <a:ahLst/>
          <a:cxnLst/>
          <a:rect l="0" t="0" r="0" b="0"/>
          <a:pathLst>
            <a:path>
              <a:moveTo>
                <a:pt x="407522" y="2878741"/>
              </a:moveTo>
              <a:arcTo wR="1754498" hR="1754498" stAng="8409012" swAng="485048"/>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C739F327-863F-4CAF-BC9E-B09D9781D135}">
      <dsp:nvSpPr>
        <dsp:cNvPr id="0" name=""/>
        <dsp:cNvSpPr/>
      </dsp:nvSpPr>
      <dsp:spPr>
        <a:xfrm>
          <a:off x="508966" y="1966626"/>
          <a:ext cx="1337313" cy="924720"/>
        </a:xfrm>
        <a:prstGeom prst="round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45720" tIns="45720" rIns="45720" bIns="45720" numCol="1" spcCol="1270" anchor="ctr" anchorCtr="0">
          <a:noAutofit/>
        </a:bodyPr>
        <a:lstStyle/>
        <a:p>
          <a:pPr lvl="0" algn="ctr" defTabSz="533400" rtl="0">
            <a:lnSpc>
              <a:spcPct val="90000"/>
            </a:lnSpc>
            <a:spcBef>
              <a:spcPct val="0"/>
            </a:spcBef>
            <a:spcAft>
              <a:spcPct val="35000"/>
            </a:spcAft>
          </a:pPr>
          <a:r>
            <a:rPr lang="en-US" sz="1200" kern="1200"/>
            <a:t>International reporting and monitoring of violations of children's rights</a:t>
          </a:r>
        </a:p>
      </dsp:txBody>
      <dsp:txXfrm>
        <a:off x="508966" y="1966626"/>
        <a:ext cx="1337313" cy="924720"/>
      </dsp:txXfrm>
    </dsp:sp>
    <dsp:sp modelId="{18B7AC17-946B-49A5-B67A-26F8AC208A19}">
      <dsp:nvSpPr>
        <dsp:cNvPr id="0" name=""/>
        <dsp:cNvSpPr/>
      </dsp:nvSpPr>
      <dsp:spPr>
        <a:xfrm>
          <a:off x="1128558" y="363609"/>
          <a:ext cx="3508997" cy="3508997"/>
        </a:xfrm>
        <a:custGeom>
          <a:avLst/>
          <a:gdLst/>
          <a:ahLst/>
          <a:cxnLst/>
          <a:rect l="0" t="0" r="0" b="0"/>
          <a:pathLst>
            <a:path>
              <a:moveTo>
                <a:pt x="18544" y="1500081"/>
              </a:moveTo>
              <a:arcTo wR="1754498" hR="1754498" stAng="11300266" swAng="612982"/>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3DFDB747-2C6C-4826-8DB4-3EF4663BE090}">
      <dsp:nvSpPr>
        <dsp:cNvPr id="0" name=""/>
        <dsp:cNvSpPr/>
      </dsp:nvSpPr>
      <dsp:spPr>
        <a:xfrm>
          <a:off x="863033" y="502455"/>
          <a:ext cx="1306747" cy="960141"/>
        </a:xfrm>
        <a:prstGeom prst="roundRect">
          <a:avLst/>
        </a:prstGeom>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2"/>
        </a:lnRef>
        <a:fillRef idx="3">
          <a:schemeClr val="accent2"/>
        </a:fillRef>
        <a:effectRef idx="3">
          <a:schemeClr val="accent2"/>
        </a:effectRef>
        <a:fontRef idx="minor">
          <a:schemeClr val="lt1"/>
        </a:fontRef>
      </dsp:style>
      <dsp:txBody>
        <a:bodyPr spcFirstLastPara="0" vert="horz" wrap="square" lIns="45720" tIns="45720" rIns="45720" bIns="45720" numCol="1" spcCol="1270" anchor="ctr" anchorCtr="0">
          <a:noAutofit/>
        </a:bodyPr>
        <a:lstStyle/>
        <a:p>
          <a:pPr lvl="0" algn="ctr" defTabSz="533400" rtl="0">
            <a:lnSpc>
              <a:spcPct val="90000"/>
            </a:lnSpc>
            <a:spcBef>
              <a:spcPct val="0"/>
            </a:spcBef>
            <a:spcAft>
              <a:spcPct val="35000"/>
            </a:spcAft>
          </a:pPr>
          <a:r>
            <a:rPr lang="en-US" sz="1200" kern="1200"/>
            <a:t>Action to address violations of children's rights</a:t>
          </a:r>
        </a:p>
      </dsp:txBody>
      <dsp:txXfrm>
        <a:off x="863033" y="502455"/>
        <a:ext cx="1306747" cy="960141"/>
      </dsp:txXfrm>
    </dsp:sp>
    <dsp:sp modelId="{A0DCF704-97F4-491C-99E4-B22DE475ECBC}">
      <dsp:nvSpPr>
        <dsp:cNvPr id="0" name=""/>
        <dsp:cNvSpPr/>
      </dsp:nvSpPr>
      <dsp:spPr>
        <a:xfrm>
          <a:off x="1303229" y="211355"/>
          <a:ext cx="3508997" cy="3508997"/>
        </a:xfrm>
        <a:custGeom>
          <a:avLst/>
          <a:gdLst/>
          <a:ahLst/>
          <a:cxnLst/>
          <a:rect l="0" t="0" r="0" b="0"/>
          <a:pathLst>
            <a:path>
              <a:moveTo>
                <a:pt x="824664" y="266656"/>
              </a:moveTo>
              <a:arcTo wR="1754498" hR="1754498" stAng="14279788" swAng="265974"/>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 آب </PublishDate>
  <Abstract>This document is a periodic report on the status and description of the rights of children in Palestine. It also aims to pinpoint most important lacuna in the data available in order to collect necessary information in the near future to draw a clearer and comprehensive picture of the reality.  PCBS is committed to providing disaggregated data and ensuring that information on the most vulnerable and marginalized groups of children is made available in order to devise the necessary remedies</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84A7FBF-4D51-45F0-9CCB-A49B8B02C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994</TotalTime>
  <Pages>1</Pages>
  <Words>21498</Words>
  <Characters>122545</Characters>
  <Application>Microsoft Office Word</Application>
  <DocSecurity>0</DocSecurity>
  <Lines>1021</Lines>
  <Paragraphs>287</Paragraphs>
  <ScaleCrop>false</ScaleCrop>
  <HeadingPairs>
    <vt:vector size="2" baseType="variant">
      <vt:variant>
        <vt:lpstr>Title</vt:lpstr>
      </vt:variant>
      <vt:variant>
        <vt:i4>1</vt:i4>
      </vt:variant>
    </vt:vector>
  </HeadingPairs>
  <TitlesOfParts>
    <vt:vector size="1" baseType="lpstr">
      <vt:lpstr>The Status of the Rights of Palestinian Children 2014</vt:lpstr>
    </vt:vector>
  </TitlesOfParts>
  <Company>الجهاز المركزي للحصاء الفلسطيني</Company>
  <LinksUpToDate>false</LinksUpToDate>
  <CharactersWithSpaces>143756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Status of the Rights of Palestinian Children 2014</dc:title>
  <dc:creator>LIskander</dc:creator>
  <cp:lastModifiedBy>mdeeb</cp:lastModifiedBy>
  <cp:revision>282</cp:revision>
  <cp:lastPrinted>2015-08-02T10:57:00Z</cp:lastPrinted>
  <dcterms:created xsi:type="dcterms:W3CDTF">2015-06-03T10:16:00Z</dcterms:created>
  <dcterms:modified xsi:type="dcterms:W3CDTF">2015-10-18T07:42:00Z</dcterms:modified>
</cp:coreProperties>
</file>